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rtl w:val="0"/>
        </w:rPr>
      </w:r>
    </w:p>
    <w:p w:rsidR="00000000" w:rsidDel="00000000" w:rsidP="00000000" w:rsidRDefault="00000000" w:rsidRPr="00000000" w14:paraId="00000002">
      <w:pPr>
        <w:spacing w:after="160" w:line="276.0005454545455" w:lineRule="auto"/>
        <w:jc w:val="center"/>
        <w:rPr>
          <w:b w:val="1"/>
        </w:rPr>
      </w:pPr>
      <w:r w:rsidDel="00000000" w:rsidR="00000000" w:rsidRPr="00000000">
        <w:rPr>
          <w:b w:val="1"/>
        </w:rPr>
        <w:drawing>
          <wp:inline distB="114300" distT="114300" distL="114300" distR="114300">
            <wp:extent cx="1619250" cy="166687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19250"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rPr>
      </w:pPr>
      <w:r w:rsidDel="00000000" w:rsidR="00000000" w:rsidRPr="00000000">
        <w:rPr>
          <w:rtl w:val="0"/>
        </w:rPr>
      </w:r>
    </w:p>
    <w:p w:rsidR="00000000" w:rsidDel="00000000" w:rsidP="00000000" w:rsidRDefault="00000000" w:rsidRPr="00000000" w14:paraId="00000004">
      <w:pPr>
        <w:spacing w:after="160" w:line="276.0005454545455" w:lineRule="auto"/>
        <w:jc w:val="center"/>
        <w:rPr>
          <w:b w:val="1"/>
        </w:rPr>
      </w:pPr>
      <w:r w:rsidDel="00000000" w:rsidR="00000000" w:rsidRPr="00000000">
        <w:rPr>
          <w:b w:val="1"/>
          <w:rtl w:val="0"/>
        </w:rPr>
        <w:t xml:space="preserve">COMUNICADO DE PRENSA</w:t>
      </w:r>
    </w:p>
    <w:p w:rsidR="00000000" w:rsidDel="00000000" w:rsidP="00000000" w:rsidRDefault="00000000" w:rsidRPr="00000000" w14:paraId="00000005">
      <w:pPr>
        <w:spacing w:after="160" w:line="276.0005454545455" w:lineRule="auto"/>
        <w:jc w:val="center"/>
        <w:rPr>
          <w:b w:val="1"/>
        </w:rPr>
      </w:pPr>
      <w:r w:rsidDel="00000000" w:rsidR="00000000" w:rsidRPr="00000000">
        <w:rPr>
          <w:b w:val="1"/>
          <w:rtl w:val="0"/>
        </w:rPr>
        <w:t xml:space="preserve"> </w:t>
      </w:r>
    </w:p>
    <w:p w:rsidR="00000000" w:rsidDel="00000000" w:rsidP="00000000" w:rsidRDefault="00000000" w:rsidRPr="00000000" w14:paraId="00000006">
      <w:pPr>
        <w:pStyle w:val="Heading1"/>
        <w:keepNext w:val="0"/>
        <w:keepLines w:val="0"/>
        <w:spacing w:after="340" w:before="480" w:line="283.826347826087" w:lineRule="auto"/>
        <w:jc w:val="center"/>
        <w:rPr>
          <w:b w:val="1"/>
          <w:color w:val="212121"/>
          <w:sz w:val="24"/>
          <w:szCs w:val="24"/>
          <w:highlight w:val="white"/>
        </w:rPr>
      </w:pPr>
      <w:bookmarkStart w:colFirst="0" w:colLast="0" w:name="_heading=h.gjdgxs" w:id="0"/>
      <w:bookmarkEnd w:id="0"/>
      <w:r w:rsidDel="00000000" w:rsidR="00000000" w:rsidRPr="00000000">
        <w:rPr>
          <w:b w:val="1"/>
          <w:color w:val="212121"/>
          <w:sz w:val="24"/>
          <w:szCs w:val="24"/>
          <w:highlight w:val="white"/>
          <w:rtl w:val="0"/>
        </w:rPr>
        <w:t xml:space="preserve">Usme le apuesta a la energía renovable para la zona rural</w:t>
      </w:r>
    </w:p>
    <w:p w:rsidR="00000000" w:rsidDel="00000000" w:rsidP="00000000" w:rsidRDefault="00000000" w:rsidRPr="00000000" w14:paraId="00000007">
      <w:pPr>
        <w:spacing w:after="16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after="160" w:line="360" w:lineRule="auto"/>
        <w:jc w:val="both"/>
        <w:rPr>
          <w:sz w:val="24"/>
          <w:szCs w:val="24"/>
        </w:rPr>
      </w:pPr>
      <w:r w:rsidDel="00000000" w:rsidR="00000000" w:rsidRPr="00000000">
        <w:rPr>
          <w:b w:val="1"/>
          <w:sz w:val="24"/>
          <w:szCs w:val="24"/>
          <w:rtl w:val="0"/>
        </w:rPr>
        <w:t xml:space="preserve">Bogotá, 4                                                                                                                                                                                                                                                  </w:t>
        <w:tab/>
        <w:t xml:space="preserve">                                                                                                                                                                                                                                                                                                                            de marzo de 2022:</w:t>
      </w:r>
      <w:r w:rsidDel="00000000" w:rsidR="00000000" w:rsidRPr="00000000">
        <w:rPr>
          <w:sz w:val="24"/>
          <w:szCs w:val="24"/>
          <w:rtl w:val="0"/>
        </w:rPr>
        <w:t xml:space="preserve"> La Alcaldía Local de Usme implementó un proyecto para diseñar e instalar </w:t>
      </w:r>
      <w:r w:rsidDel="00000000" w:rsidR="00000000" w:rsidRPr="00000000">
        <w:rPr>
          <w:sz w:val="24"/>
          <w:szCs w:val="24"/>
          <w:rtl w:val="0"/>
        </w:rPr>
        <w:t xml:space="preserve">catorce (14) sistemas de generación de energía eléctrica renovable que beneficiarán a las veredas de la localidad con la empresa HG Ingenieria y Construcciones S.A.S.</w:t>
      </w:r>
      <w:r w:rsidDel="00000000" w:rsidR="00000000" w:rsidRPr="00000000">
        <w:rPr>
          <w:rtl w:val="0"/>
        </w:rPr>
      </w:r>
    </w:p>
    <w:p w:rsidR="00000000" w:rsidDel="00000000" w:rsidP="00000000" w:rsidRDefault="00000000" w:rsidRPr="00000000" w14:paraId="00000009">
      <w:pPr>
        <w:spacing w:after="160" w:line="360" w:lineRule="auto"/>
        <w:jc w:val="both"/>
        <w:rPr>
          <w:sz w:val="24"/>
          <w:szCs w:val="24"/>
        </w:rPr>
      </w:pPr>
      <w:r w:rsidDel="00000000" w:rsidR="00000000" w:rsidRPr="00000000">
        <w:rPr>
          <w:sz w:val="24"/>
          <w:szCs w:val="24"/>
          <w:rtl w:val="0"/>
        </w:rPr>
        <w:t xml:space="preserve">A través del contrato No. 407-2021 se quiere apoyar a los habitantes de la zona rural de Usme, un proyecto de más de 580 millones de pesos que pretende beneficiar a familias, campesinos, productores con energía eléctrica renovable la cual es de vital importancia para las actividades diarias.</w:t>
      </w:r>
    </w:p>
    <w:p w:rsidR="00000000" w:rsidDel="00000000" w:rsidP="00000000" w:rsidRDefault="00000000" w:rsidRPr="00000000" w14:paraId="0000000A">
      <w:pPr>
        <w:spacing w:after="160" w:line="360" w:lineRule="auto"/>
        <w:jc w:val="both"/>
        <w:rPr>
          <w:sz w:val="24"/>
          <w:szCs w:val="24"/>
        </w:rPr>
      </w:pPr>
      <w:r w:rsidDel="00000000" w:rsidR="00000000" w:rsidRPr="00000000">
        <w:rPr>
          <w:sz w:val="24"/>
          <w:szCs w:val="24"/>
          <w:rtl w:val="0"/>
        </w:rPr>
        <w:t xml:space="preserve">Para ellos se abre la convocatoria para que todas las personas que deseen acceder puedan hacerlo presentándose con la siguiente documentación:</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1) Documento que acredite la propiedad o la tenencia del predio ( escritura pública, certificado de libertad, promesa de compra venta).</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2) Declaración Juramentada de sana posesión con copia de la cédula de ciudadanía</w:t>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3) Certificado de residencia en la vereda correspondiente el cual puede ser expedido por la alcaldía local de Usme o la Junta de Acción Comunal.</w:t>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4) Recibo de servicio público de la vivienda (luz, gas o agua).</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after="160" w:line="360" w:lineRule="auto"/>
        <w:jc w:val="both"/>
        <w:rPr>
          <w:sz w:val="24"/>
          <w:szCs w:val="24"/>
        </w:rPr>
      </w:pPr>
      <w:r w:rsidDel="00000000" w:rsidR="00000000" w:rsidRPr="00000000">
        <w:rPr>
          <w:sz w:val="24"/>
          <w:szCs w:val="24"/>
          <w:rtl w:val="0"/>
        </w:rPr>
        <w:t xml:space="preserve">Estos serán revisados para realizar la posterior selección de los beneficiarios, los cuales deben cumplir con los siguientes requisitos: </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1) Los beneficiarios deberán ser personas a las que la instalación de la celda les represente un beneficio tangible, de acuerdo a la evidencia de su vulnerabilidad, se priorizaran viviendas rurales, familias campesinas con personas en situación de discapacidad, con problemas de salud que demanden dispositivos médicos, familias encabezadas por mujeres en situación de abandono o violencias o con más de dos menores a cargo que requieran de la energía para estudio y desempeño académico, víctimas del conflicto o población afrodescendiente e indígena.</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2) Situación del predio y su viabilidad. Dicha verificación se contrasta con la información reportada por el interesado en el momento de inscribir su postulación.</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3) Conexión al servicio de red eléctrica. Sistemas de energía solar serán instalados  en viviendas rurales con énfasis en familias vulnerables, que no han contado con energía eléctrica o esta ha sido intermitente agravando problemas de salud, discapacidades y denigrando su condición de bienestar.</w:t>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4) Eficiencia energética. Se priorizarán los postulantes cuyo impacto ambiental incida sobre la conservación y protección del medio ambiente.</w:t>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5) Mejora de la calidad de vida de la población en el territorio local. Se priorizarán los postulantes cuya ubicación permita una mejor en la calidad de vida de los beneficiarios y sus familias. </w:t>
      </w:r>
    </w:p>
    <w:p w:rsidR="00000000" w:rsidDel="00000000" w:rsidP="00000000" w:rsidRDefault="00000000" w:rsidRPr="00000000" w14:paraId="00000016">
      <w:pPr>
        <w:spacing w:line="360" w:lineRule="auto"/>
        <w:jc w:val="both"/>
        <w:rPr>
          <w:sz w:val="24"/>
          <w:szCs w:val="24"/>
        </w:rPr>
      </w:pPr>
      <w:r w:rsidDel="00000000" w:rsidR="00000000" w:rsidRPr="00000000">
        <w:rPr>
          <w:sz w:val="24"/>
          <w:szCs w:val="24"/>
          <w:rtl w:val="0"/>
        </w:rPr>
        <w:t xml:space="preserve">6) Turismo, agroalimentario y servicio social. Se priorizarán los postulantes cuya instalación favorezca el desarrollo de actividades económicas relacionadas con estos sectores.</w:t>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7) Utilización o puesta en valor de recursos locales. Se priorizarán los beneficiarios que promocionen, divulguen, formen, conciencien y sensibilicen sobre los recursos ambientales locales.</w:t>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8) Proyectos Productivos. Se priorizan los postulantes cuya instalación complemente o fortalezca un proceso productivo.</w:t>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9) Sistemas de energía solar serán instalados  en viviendas rurales con énfasis en familias vulnerables, que no han contado con energía eléctrica o esta ha sido intermitente agravando problemas de salud, discapacidades y denigrando su condición de bienestar.</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after="160" w:line="360" w:lineRule="auto"/>
        <w:jc w:val="both"/>
        <w:rPr>
          <w:sz w:val="24"/>
          <w:szCs w:val="24"/>
        </w:rPr>
      </w:pPr>
      <w:r w:rsidDel="00000000" w:rsidR="00000000" w:rsidRPr="00000000">
        <w:rPr>
          <w:sz w:val="24"/>
          <w:szCs w:val="24"/>
          <w:rtl w:val="0"/>
        </w:rPr>
        <w:t xml:space="preserve">Es de recalcar que esto hace del marco de Energías Alternativas vigencias 2021 al 2024, para hacer de Usme una ciudad sostenible.</w:t>
      </w:r>
    </w:p>
    <w:p w:rsidR="00000000" w:rsidDel="00000000" w:rsidP="00000000" w:rsidRDefault="00000000" w:rsidRPr="00000000" w14:paraId="0000001C">
      <w:pPr>
        <w:spacing w:after="160" w:line="360" w:lineRule="auto"/>
        <w:jc w:val="both"/>
        <w:rPr>
          <w:sz w:val="24"/>
          <w:szCs w:val="24"/>
        </w:rPr>
      </w:pPr>
      <w:r w:rsidDel="00000000" w:rsidR="00000000" w:rsidRPr="00000000">
        <w:rPr>
          <w:sz w:val="24"/>
          <w:szCs w:val="24"/>
          <w:rtl w:val="0"/>
        </w:rPr>
        <w:t xml:space="preserve">Se estará socializando el proyecto en las siguientes veredas:</w:t>
      </w:r>
    </w:p>
    <w:p w:rsidR="00000000" w:rsidDel="00000000" w:rsidP="00000000" w:rsidRDefault="00000000" w:rsidRPr="00000000" w14:paraId="0000001D">
      <w:pPr>
        <w:spacing w:line="276" w:lineRule="auto"/>
        <w:rPr>
          <w:rFonts w:ascii="Calibri" w:cs="Calibri" w:eastAsia="Calibri" w:hAnsi="Calibri"/>
          <w:color w:val="1b1b1b"/>
          <w:sz w:val="36"/>
          <w:szCs w:val="36"/>
          <w:highlight w:val="white"/>
        </w:rPr>
      </w:pPr>
      <w:r w:rsidDel="00000000" w:rsidR="00000000" w:rsidRPr="00000000">
        <w:rPr>
          <w:rtl w:val="0"/>
        </w:rPr>
      </w:r>
    </w:p>
    <w:tbl>
      <w:tblPr>
        <w:tblStyle w:val="Table1"/>
        <w:tblW w:w="89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2835"/>
        <w:gridCol w:w="2150"/>
        <w:gridCol w:w="2195"/>
        <w:tblGridChange w:id="0">
          <w:tblGrid>
            <w:gridCol w:w="1740"/>
            <w:gridCol w:w="2835"/>
            <w:gridCol w:w="2150"/>
            <w:gridCol w:w="2195"/>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281.4545454545455" w:lineRule="auto"/>
              <w:rPr>
                <w:b w:val="1"/>
                <w:color w:val="1b1b1b"/>
                <w:sz w:val="24"/>
                <w:szCs w:val="24"/>
                <w:highlight w:val="white"/>
              </w:rPr>
            </w:pPr>
            <w:r w:rsidDel="00000000" w:rsidR="00000000" w:rsidRPr="00000000">
              <w:rPr>
                <w:b w:val="1"/>
                <w:color w:val="1b1b1b"/>
                <w:sz w:val="24"/>
                <w:szCs w:val="24"/>
                <w:highlight w:val="white"/>
                <w:rtl w:val="0"/>
              </w:rPr>
              <w:t xml:space="preserve">VEREDAS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281.4545454545455" w:lineRule="auto"/>
              <w:rPr>
                <w:b w:val="1"/>
                <w:color w:val="1b1b1b"/>
                <w:sz w:val="24"/>
                <w:szCs w:val="24"/>
                <w:highlight w:val="white"/>
              </w:rPr>
            </w:pPr>
            <w:r w:rsidDel="00000000" w:rsidR="00000000" w:rsidRPr="00000000">
              <w:rPr>
                <w:b w:val="1"/>
                <w:color w:val="1b1b1b"/>
                <w:sz w:val="24"/>
                <w:szCs w:val="24"/>
                <w:highlight w:val="white"/>
                <w:rtl w:val="0"/>
              </w:rPr>
              <w:t xml:space="preserve">LUGAR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281.4545454545455" w:lineRule="auto"/>
              <w:rPr>
                <w:b w:val="1"/>
                <w:color w:val="1b1b1b"/>
                <w:sz w:val="24"/>
                <w:szCs w:val="24"/>
                <w:highlight w:val="white"/>
              </w:rPr>
            </w:pPr>
            <w:r w:rsidDel="00000000" w:rsidR="00000000" w:rsidRPr="00000000">
              <w:rPr>
                <w:b w:val="1"/>
                <w:color w:val="1b1b1b"/>
                <w:sz w:val="24"/>
                <w:szCs w:val="24"/>
                <w:highlight w:val="white"/>
                <w:rtl w:val="0"/>
              </w:rPr>
              <w:t xml:space="preserve">FECHA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line="281.4545454545455" w:lineRule="auto"/>
              <w:ind w:right="580"/>
              <w:rPr>
                <w:b w:val="1"/>
                <w:color w:val="1b1b1b"/>
                <w:sz w:val="24"/>
                <w:szCs w:val="24"/>
                <w:highlight w:val="white"/>
              </w:rPr>
            </w:pPr>
            <w:r w:rsidDel="00000000" w:rsidR="00000000" w:rsidRPr="00000000">
              <w:rPr>
                <w:b w:val="1"/>
                <w:color w:val="1b1b1b"/>
                <w:sz w:val="24"/>
                <w:szCs w:val="24"/>
                <w:highlight w:val="white"/>
                <w:rtl w:val="0"/>
              </w:rPr>
              <w:t xml:space="preserve">HORA</w:t>
            </w:r>
          </w:p>
        </w:tc>
      </w:tr>
      <w:tr>
        <w:trPr>
          <w:cantSplit w:val="0"/>
          <w:trHeight w:val="30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line="276"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REQUILINA</w:t>
            </w:r>
          </w:p>
          <w:p w:rsidR="00000000" w:rsidDel="00000000" w:rsidP="00000000" w:rsidRDefault="00000000" w:rsidRPr="00000000" w14:paraId="00000023">
            <w:pPr>
              <w:spacing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SOCHES</w:t>
            </w:r>
          </w:p>
          <w:p w:rsidR="00000000" w:rsidDel="00000000" w:rsidP="00000000" w:rsidRDefault="00000000" w:rsidRPr="00000000" w14:paraId="00000024">
            <w:pPr>
              <w:spacing w:after="240" w:before="240"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UVAL</w:t>
            </w:r>
          </w:p>
          <w:p w:rsidR="00000000" w:rsidDel="00000000" w:rsidP="00000000" w:rsidRDefault="00000000" w:rsidRPr="00000000" w14:paraId="00000025">
            <w:pPr>
              <w:spacing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CHIGUAZA</w:t>
            </w:r>
          </w:p>
          <w:p w:rsidR="00000000" w:rsidDel="00000000" w:rsidP="00000000" w:rsidRDefault="00000000" w:rsidRPr="00000000" w14:paraId="00000026">
            <w:pPr>
              <w:spacing w:after="240" w:before="240"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CORINTO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line="276" w:lineRule="auto"/>
              <w:ind w:left="660" w:firstLine="0"/>
              <w:rPr>
                <w:rFonts w:ascii="Calibri" w:cs="Calibri" w:eastAsia="Calibri" w:hAnsi="Calibri"/>
                <w:color w:val="1b1b1b"/>
                <w:sz w:val="24"/>
                <w:szCs w:val="24"/>
                <w:highlight w:val="white"/>
              </w:rPr>
            </w:pPr>
            <w:r w:rsidDel="00000000" w:rsidR="00000000" w:rsidRPr="00000000">
              <w:rPr>
                <w:b w:val="1"/>
                <w:color w:val="1b1b1b"/>
                <w:sz w:val="23"/>
                <w:szCs w:val="23"/>
                <w:highlight w:val="white"/>
                <w:rtl w:val="0"/>
              </w:rPr>
              <w:t xml:space="preserve"> </w:t>
            </w:r>
            <w:r w:rsidDel="00000000" w:rsidR="00000000" w:rsidRPr="00000000">
              <w:rPr>
                <w:rFonts w:ascii="Calibri" w:cs="Calibri" w:eastAsia="Calibri" w:hAnsi="Calibri"/>
                <w:color w:val="1b1b1b"/>
                <w:sz w:val="24"/>
                <w:szCs w:val="24"/>
                <w:highlight w:val="white"/>
                <w:rtl w:val="0"/>
              </w:rPr>
              <w:t xml:space="preserve">SALÓN COMUNAL REQUILINA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line="276" w:lineRule="auto"/>
              <w:ind w:left="660" w:firstLine="0"/>
              <w:rPr>
                <w:b w:val="1"/>
                <w:color w:val="1b1b1b"/>
                <w:sz w:val="23"/>
                <w:szCs w:val="23"/>
                <w:highlight w:val="white"/>
              </w:rPr>
            </w:pPr>
            <w:r w:rsidDel="00000000" w:rsidR="00000000" w:rsidRPr="00000000">
              <w:rPr>
                <w:b w:val="1"/>
                <w:color w:val="1b1b1b"/>
                <w:sz w:val="23"/>
                <w:szCs w:val="23"/>
                <w:highlight w:val="white"/>
                <w:rtl w:val="0"/>
              </w:rPr>
              <w:t xml:space="preserve"> </w:t>
            </w:r>
          </w:p>
          <w:p w:rsidR="00000000" w:rsidDel="00000000" w:rsidP="00000000" w:rsidRDefault="00000000" w:rsidRPr="00000000" w14:paraId="00000029">
            <w:pPr>
              <w:spacing w:line="276" w:lineRule="auto"/>
              <w:ind w:left="0" w:right="140" w:firstLine="0"/>
              <w:jc w:val="left"/>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LUNES 07 DE</w:t>
            </w:r>
          </w:p>
          <w:p w:rsidR="00000000" w:rsidDel="00000000" w:rsidP="00000000" w:rsidRDefault="00000000" w:rsidRPr="00000000" w14:paraId="0000002A">
            <w:pPr>
              <w:spacing w:line="276" w:lineRule="auto"/>
              <w:ind w:left="800" w:right="140" w:firstLine="0"/>
              <w:jc w:val="center"/>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MARZO DE 2022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line="276" w:lineRule="auto"/>
              <w:ind w:left="660" w:firstLine="0"/>
              <w:rPr>
                <w:b w:val="1"/>
                <w:color w:val="1b1b1b"/>
                <w:sz w:val="23"/>
                <w:szCs w:val="23"/>
                <w:highlight w:val="white"/>
              </w:rPr>
            </w:pPr>
            <w:r w:rsidDel="00000000" w:rsidR="00000000" w:rsidRPr="00000000">
              <w:rPr>
                <w:b w:val="1"/>
                <w:color w:val="1b1b1b"/>
                <w:sz w:val="23"/>
                <w:szCs w:val="23"/>
                <w:highlight w:val="white"/>
                <w:rtl w:val="0"/>
              </w:rPr>
              <w:t xml:space="preserve"> </w:t>
            </w:r>
          </w:p>
          <w:p w:rsidR="00000000" w:rsidDel="00000000" w:rsidP="00000000" w:rsidRDefault="00000000" w:rsidRPr="00000000" w14:paraId="0000002C">
            <w:pPr>
              <w:spacing w:line="276" w:lineRule="auto"/>
              <w:ind w:right="58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02:00 pm</w:t>
            </w:r>
          </w:p>
        </w:tc>
      </w:tr>
      <w:tr>
        <w:trPr>
          <w:cantSplit w:val="0"/>
          <w:trHeight w:val="2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line="276" w:lineRule="auto"/>
              <w:ind w:left="660" w:firstLine="0"/>
              <w:rPr>
                <w:b w:val="1"/>
                <w:color w:val="1b1b1b"/>
                <w:sz w:val="23"/>
                <w:szCs w:val="23"/>
                <w:highlight w:val="white"/>
              </w:rPr>
            </w:pPr>
            <w:r w:rsidDel="00000000" w:rsidR="00000000" w:rsidRPr="00000000">
              <w:rPr>
                <w:b w:val="1"/>
                <w:color w:val="1b1b1b"/>
                <w:sz w:val="23"/>
                <w:szCs w:val="23"/>
                <w:highlight w:val="white"/>
                <w:rtl w:val="0"/>
              </w:rPr>
              <w:t xml:space="preserve"> </w:t>
            </w:r>
          </w:p>
          <w:p w:rsidR="00000000" w:rsidDel="00000000" w:rsidP="00000000" w:rsidRDefault="00000000" w:rsidRPr="00000000" w14:paraId="0000002E">
            <w:pPr>
              <w:spacing w:after="240" w:before="240"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ARRAYANES</w:t>
            </w:r>
          </w:p>
          <w:p w:rsidR="00000000" w:rsidDel="00000000" w:rsidP="00000000" w:rsidRDefault="00000000" w:rsidRPr="00000000" w14:paraId="0000002F">
            <w:pPr>
              <w:spacing w:after="240" w:before="240"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CURUBITAL</w:t>
            </w:r>
          </w:p>
          <w:p w:rsidR="00000000" w:rsidDel="00000000" w:rsidP="00000000" w:rsidRDefault="00000000" w:rsidRPr="00000000" w14:paraId="00000030">
            <w:pPr>
              <w:spacing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DESTINO</w:t>
            </w:r>
          </w:p>
          <w:p w:rsidR="00000000" w:rsidDel="00000000" w:rsidP="00000000" w:rsidRDefault="00000000" w:rsidRPr="00000000" w14:paraId="00000031">
            <w:pPr>
              <w:spacing w:after="240" w:before="240" w:line="284.72727272727275"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OLARTE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276" w:lineRule="auto"/>
              <w:ind w:left="660" w:firstLine="0"/>
              <w:rPr>
                <w:b w:val="1"/>
                <w:color w:val="1b1b1b"/>
                <w:sz w:val="24"/>
                <w:szCs w:val="24"/>
                <w:highlight w:val="white"/>
              </w:rPr>
            </w:pPr>
            <w:r w:rsidDel="00000000" w:rsidR="00000000" w:rsidRPr="00000000">
              <w:rPr>
                <w:b w:val="1"/>
                <w:color w:val="1b1b1b"/>
                <w:sz w:val="24"/>
                <w:szCs w:val="24"/>
                <w:highlight w:val="white"/>
                <w:rtl w:val="0"/>
              </w:rPr>
              <w:t xml:space="preserve"> </w:t>
            </w:r>
          </w:p>
          <w:p w:rsidR="00000000" w:rsidDel="00000000" w:rsidP="00000000" w:rsidRDefault="00000000" w:rsidRPr="00000000" w14:paraId="00000033">
            <w:pPr>
              <w:spacing w:line="235.2" w:lineRule="auto"/>
              <w:ind w:left="0" w:right="20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COLEGIO DESTINO ALTO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line="276" w:lineRule="auto"/>
              <w:ind w:left="660" w:firstLine="0"/>
              <w:rPr>
                <w:b w:val="1"/>
                <w:color w:val="1b1b1b"/>
                <w:sz w:val="23"/>
                <w:szCs w:val="23"/>
                <w:highlight w:val="white"/>
              </w:rPr>
            </w:pPr>
            <w:r w:rsidDel="00000000" w:rsidR="00000000" w:rsidRPr="00000000">
              <w:rPr>
                <w:b w:val="1"/>
                <w:color w:val="1b1b1b"/>
                <w:sz w:val="23"/>
                <w:szCs w:val="23"/>
                <w:highlight w:val="white"/>
                <w:rtl w:val="0"/>
              </w:rPr>
              <w:t xml:space="preserve"> </w:t>
            </w:r>
          </w:p>
          <w:p w:rsidR="00000000" w:rsidDel="00000000" w:rsidP="00000000" w:rsidRDefault="00000000" w:rsidRPr="00000000" w14:paraId="00000035">
            <w:pPr>
              <w:spacing w:line="276" w:lineRule="auto"/>
              <w:ind w:left="0" w:right="280" w:firstLine="0"/>
              <w:jc w:val="left"/>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SÁBADO 12 DE MARZO DE 2022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line="276" w:lineRule="auto"/>
              <w:ind w:left="660" w:firstLine="0"/>
              <w:rPr>
                <w:b w:val="1"/>
                <w:color w:val="1b1b1b"/>
                <w:sz w:val="23"/>
                <w:szCs w:val="23"/>
                <w:highlight w:val="white"/>
              </w:rPr>
            </w:pPr>
            <w:r w:rsidDel="00000000" w:rsidR="00000000" w:rsidRPr="00000000">
              <w:rPr>
                <w:b w:val="1"/>
                <w:color w:val="1b1b1b"/>
                <w:sz w:val="23"/>
                <w:szCs w:val="23"/>
                <w:highlight w:val="white"/>
                <w:rtl w:val="0"/>
              </w:rPr>
              <w:t xml:space="preserve"> </w:t>
            </w:r>
          </w:p>
          <w:p w:rsidR="00000000" w:rsidDel="00000000" w:rsidP="00000000" w:rsidRDefault="00000000" w:rsidRPr="00000000" w14:paraId="00000037">
            <w:pPr>
              <w:spacing w:line="276" w:lineRule="auto"/>
              <w:ind w:right="58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9:00 am</w:t>
            </w:r>
          </w:p>
        </w:tc>
      </w:tr>
      <w:tr>
        <w:trPr>
          <w:cantSplit w:val="0"/>
          <w:trHeight w:val="2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line="276" w:lineRule="auto"/>
              <w:ind w:left="660" w:firstLine="0"/>
              <w:rPr>
                <w:b w:val="1"/>
                <w:color w:val="1b1b1b"/>
                <w:sz w:val="23"/>
                <w:szCs w:val="23"/>
                <w:highlight w:val="white"/>
              </w:rPr>
            </w:pPr>
            <w:r w:rsidDel="00000000" w:rsidR="00000000" w:rsidRPr="00000000">
              <w:rPr>
                <w:b w:val="1"/>
                <w:color w:val="1b1b1b"/>
                <w:sz w:val="23"/>
                <w:szCs w:val="23"/>
                <w:highlight w:val="white"/>
                <w:rtl w:val="0"/>
              </w:rPr>
              <w:t xml:space="preserve"> </w:t>
            </w:r>
          </w:p>
          <w:p w:rsidR="00000000" w:rsidDel="00000000" w:rsidP="00000000" w:rsidRDefault="00000000" w:rsidRPr="00000000" w14:paraId="00000039">
            <w:pPr>
              <w:spacing w:after="240" w:before="240" w:line="276"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CHISACÁ</w:t>
            </w:r>
          </w:p>
          <w:p w:rsidR="00000000" w:rsidDel="00000000" w:rsidP="00000000" w:rsidRDefault="00000000" w:rsidRPr="00000000" w14:paraId="0000003A">
            <w:pPr>
              <w:spacing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UNIÓN</w:t>
            </w:r>
          </w:p>
          <w:p w:rsidR="00000000" w:rsidDel="00000000" w:rsidP="00000000" w:rsidRDefault="00000000" w:rsidRPr="00000000" w14:paraId="0000003B">
            <w:pPr>
              <w:spacing w:after="240" w:before="240" w:line="300"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ANDES</w:t>
            </w:r>
          </w:p>
          <w:p w:rsidR="00000000" w:rsidDel="00000000" w:rsidP="00000000" w:rsidRDefault="00000000" w:rsidRPr="00000000" w14:paraId="0000003C">
            <w:pPr>
              <w:spacing w:line="276" w:lineRule="auto"/>
              <w:ind w:left="0" w:firstLine="0"/>
              <w:rPr>
                <w:rFonts w:ascii="Calibri" w:cs="Calibri" w:eastAsia="Calibri" w:hAnsi="Calibri"/>
                <w:color w:val="1b1b1b"/>
                <w:sz w:val="24"/>
                <w:szCs w:val="24"/>
                <w:highlight w:val="white"/>
              </w:rPr>
            </w:pPr>
            <w:r w:rsidDel="00000000" w:rsidR="00000000" w:rsidRPr="00000000">
              <w:rPr>
                <w:rFonts w:ascii="Calibri" w:cs="Calibri" w:eastAsia="Calibri" w:hAnsi="Calibri"/>
                <w:color w:val="1b1b1b"/>
                <w:sz w:val="24"/>
                <w:szCs w:val="24"/>
                <w:highlight w:val="white"/>
                <w:rtl w:val="0"/>
              </w:rPr>
              <w:t xml:space="preserve">MARGARITAS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line="276" w:lineRule="auto"/>
              <w:ind w:left="660" w:firstLine="0"/>
              <w:rPr>
                <w:rFonts w:ascii="Calibri" w:cs="Calibri" w:eastAsia="Calibri" w:hAnsi="Calibri"/>
                <w:color w:val="1b1b1b"/>
                <w:sz w:val="24"/>
                <w:szCs w:val="24"/>
                <w:highlight w:val="white"/>
              </w:rPr>
            </w:pPr>
            <w:r w:rsidDel="00000000" w:rsidR="00000000" w:rsidRPr="00000000">
              <w:rPr>
                <w:b w:val="1"/>
                <w:color w:val="1b1b1b"/>
                <w:sz w:val="23"/>
                <w:szCs w:val="23"/>
                <w:highlight w:val="white"/>
                <w:rtl w:val="0"/>
              </w:rPr>
              <w:t xml:space="preserve"> </w:t>
            </w:r>
            <w:r w:rsidDel="00000000" w:rsidR="00000000" w:rsidRPr="00000000">
              <w:rPr>
                <w:rFonts w:ascii="Calibri" w:cs="Calibri" w:eastAsia="Calibri" w:hAnsi="Calibri"/>
                <w:color w:val="1b1b1b"/>
                <w:sz w:val="24"/>
                <w:szCs w:val="24"/>
                <w:highlight w:val="white"/>
                <w:rtl w:val="0"/>
              </w:rPr>
              <w:t xml:space="preserve">SALON LAS MARGARITAS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line="276" w:lineRule="auto"/>
              <w:ind w:left="660" w:firstLine="0"/>
              <w:rPr>
                <w:rFonts w:ascii="Calibri" w:cs="Calibri" w:eastAsia="Calibri" w:hAnsi="Calibri"/>
                <w:color w:val="1b1b1b"/>
                <w:sz w:val="24"/>
                <w:szCs w:val="24"/>
                <w:highlight w:val="white"/>
              </w:rPr>
            </w:pPr>
            <w:r w:rsidDel="00000000" w:rsidR="00000000" w:rsidRPr="00000000">
              <w:rPr>
                <w:b w:val="1"/>
                <w:color w:val="1b1b1b"/>
                <w:sz w:val="23"/>
                <w:szCs w:val="23"/>
                <w:highlight w:val="white"/>
                <w:rtl w:val="0"/>
              </w:rPr>
              <w:t xml:space="preserve"> </w:t>
            </w:r>
            <w:r w:rsidDel="00000000" w:rsidR="00000000" w:rsidRPr="00000000">
              <w:rPr>
                <w:rFonts w:ascii="Calibri" w:cs="Calibri" w:eastAsia="Calibri" w:hAnsi="Calibri"/>
                <w:color w:val="1b1b1b"/>
                <w:sz w:val="24"/>
                <w:szCs w:val="24"/>
                <w:highlight w:val="white"/>
                <w:rtl w:val="0"/>
              </w:rPr>
              <w:t xml:space="preserve">SÁBADO 19 DE MARZO de 2022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line="276" w:lineRule="auto"/>
              <w:ind w:right="580"/>
              <w:rPr>
                <w:rFonts w:ascii="Calibri" w:cs="Calibri" w:eastAsia="Calibri" w:hAnsi="Calibri"/>
                <w:color w:val="1b1b1b"/>
                <w:sz w:val="24"/>
                <w:szCs w:val="24"/>
                <w:highlight w:val="white"/>
              </w:rPr>
            </w:pPr>
            <w:r w:rsidDel="00000000" w:rsidR="00000000" w:rsidRPr="00000000">
              <w:rPr>
                <w:b w:val="1"/>
                <w:color w:val="1b1b1b"/>
                <w:sz w:val="23"/>
                <w:szCs w:val="23"/>
                <w:highlight w:val="white"/>
                <w:rtl w:val="0"/>
              </w:rPr>
              <w:t xml:space="preserve">9:00 am</w:t>
            </w:r>
            <w:r w:rsidDel="00000000" w:rsidR="00000000" w:rsidRPr="00000000">
              <w:rPr>
                <w:rtl w:val="0"/>
              </w:rPr>
            </w:r>
          </w:p>
        </w:tc>
      </w:tr>
    </w:tbl>
    <w:p w:rsidR="00000000" w:rsidDel="00000000" w:rsidP="00000000" w:rsidRDefault="00000000" w:rsidRPr="00000000" w14:paraId="00000040">
      <w:pPr>
        <w:spacing w:line="276" w:lineRule="auto"/>
        <w:rPr>
          <w:sz w:val="24"/>
          <w:szCs w:val="24"/>
        </w:rPr>
      </w:pPr>
      <w:r w:rsidDel="00000000" w:rsidR="00000000" w:rsidRPr="00000000">
        <w:rPr>
          <w:rtl w:val="0"/>
        </w:rPr>
      </w:r>
    </w:p>
    <w:p w:rsidR="00000000" w:rsidDel="00000000" w:rsidP="00000000" w:rsidRDefault="00000000" w:rsidRPr="00000000" w14:paraId="00000041">
      <w:pPr>
        <w:spacing w:after="160" w:line="360" w:lineRule="auto"/>
        <w:jc w:val="both"/>
        <w:rPr/>
      </w:pPr>
      <w:r w:rsidDel="00000000" w:rsidR="00000000" w:rsidRPr="00000000">
        <w:rPr>
          <w:rtl w:val="0"/>
        </w:rPr>
      </w:r>
    </w:p>
    <w:p w:rsidR="00000000" w:rsidDel="00000000" w:rsidP="00000000" w:rsidRDefault="00000000" w:rsidRPr="00000000" w14:paraId="00000042">
      <w:pPr>
        <w:spacing w:after="160" w:line="360" w:lineRule="auto"/>
        <w:jc w:val="both"/>
        <w:rPr/>
      </w:pPr>
      <w:r w:rsidDel="00000000" w:rsidR="00000000" w:rsidRPr="00000000">
        <w:rPr>
          <w:rtl w:val="0"/>
        </w:rPr>
        <w:t xml:space="preserve"> </w:t>
      </w:r>
    </w:p>
    <w:p w:rsidR="00000000" w:rsidDel="00000000" w:rsidP="00000000" w:rsidRDefault="00000000" w:rsidRPr="00000000" w14:paraId="00000043">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44">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45">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81200" cy="1028700"/>
                    </a:xfrm>
                    <a:prstGeom prst="rect"/>
                    <a:ln/>
                  </pic:spPr>
                </pic:pic>
              </a:graphicData>
            </a:graphic>
          </wp:inline>
        </w:drawing>
      </w:r>
      <w:r w:rsidDel="00000000" w:rsidR="00000000" w:rsidRPr="00000000">
        <w:rPr>
          <w:b w:val="1"/>
          <w:sz w:val="20"/>
          <w:szCs w:val="20"/>
          <w:rtl w:val="0"/>
        </w:rPr>
        <w:t xml:space="preserve">       </w:t>
      </w:r>
    </w:p>
    <w:p w:rsidR="00000000" w:rsidDel="00000000" w:rsidP="00000000" w:rsidRDefault="00000000" w:rsidRPr="00000000" w14:paraId="00000046">
      <w:pPr>
        <w:spacing w:line="276.0005454545455" w:lineRule="auto"/>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color w:val="202124"/>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8kd6ELx+2IQK0OF/IMx8Pwkp5w==">AMUW2mWRp0xabYdzAfGKqXYfR9hrhzWON0G6pWexPRrV1X7lqSqjz1UQhJLWgS/Kb7DBgkWgOVoAuClpVFXdCh3/z4cxQwVEXHIIBT1jThVn4Rs9qVuLhGnfvBdNpGZZOslk+Z1npVvW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