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CCD33C" w14:textId="77777777" w:rsidR="00E12720" w:rsidRDefault="00000000">
      <w:pPr>
        <w:spacing w:after="160"/>
        <w:rPr>
          <w:b/>
        </w:rPr>
      </w:pPr>
      <w:r>
        <w:rPr>
          <w:b/>
        </w:rPr>
        <w:tab/>
      </w:r>
    </w:p>
    <w:p w14:paraId="29D06337" w14:textId="77777777" w:rsidR="00E12720" w:rsidRDefault="00000000">
      <w:pPr>
        <w:spacing w:after="160"/>
        <w:jc w:val="center"/>
        <w:rPr>
          <w:b/>
          <w:sz w:val="24"/>
          <w:szCs w:val="24"/>
        </w:rPr>
      </w:pPr>
      <w:r>
        <w:rPr>
          <w:b/>
          <w:noProof/>
        </w:rPr>
        <w:drawing>
          <wp:inline distT="114300" distB="114300" distL="114300" distR="114300" wp14:anchorId="603B8127" wp14:editId="65D69899">
            <wp:extent cx="944400" cy="966709"/>
            <wp:effectExtent l="0" t="0" r="0" b="0"/>
            <wp:docPr id="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5"/>
                    <a:srcRect/>
                    <a:stretch>
                      <a:fillRect/>
                    </a:stretch>
                  </pic:blipFill>
                  <pic:spPr>
                    <a:xfrm>
                      <a:off x="0" y="0"/>
                      <a:ext cx="944400" cy="966709"/>
                    </a:xfrm>
                    <a:prstGeom prst="rect">
                      <a:avLst/>
                    </a:prstGeom>
                    <a:ln/>
                  </pic:spPr>
                </pic:pic>
              </a:graphicData>
            </a:graphic>
          </wp:inline>
        </w:drawing>
      </w:r>
    </w:p>
    <w:p w14:paraId="3A7AF439" w14:textId="77777777" w:rsidR="00E12720" w:rsidRDefault="00000000">
      <w:pPr>
        <w:spacing w:after="160"/>
        <w:jc w:val="center"/>
        <w:rPr>
          <w:b/>
          <w:sz w:val="24"/>
          <w:szCs w:val="24"/>
        </w:rPr>
      </w:pPr>
      <w:r>
        <w:rPr>
          <w:b/>
          <w:sz w:val="24"/>
          <w:szCs w:val="24"/>
        </w:rPr>
        <w:t>COMUNICADO DE PRENSA</w:t>
      </w:r>
    </w:p>
    <w:p w14:paraId="19F804E1" w14:textId="77777777" w:rsidR="00E12720" w:rsidRDefault="00E12720">
      <w:pPr>
        <w:spacing w:after="160"/>
        <w:jc w:val="both"/>
        <w:rPr>
          <w:b/>
          <w:color w:val="202124"/>
          <w:sz w:val="24"/>
          <w:szCs w:val="24"/>
        </w:rPr>
      </w:pPr>
    </w:p>
    <w:p w14:paraId="5ADFDADE" w14:textId="77777777" w:rsidR="00E12720" w:rsidRDefault="00000000">
      <w:pPr>
        <w:spacing w:after="160"/>
        <w:jc w:val="center"/>
        <w:rPr>
          <w:b/>
          <w:color w:val="202124"/>
          <w:sz w:val="24"/>
          <w:szCs w:val="24"/>
        </w:rPr>
      </w:pPr>
      <w:r>
        <w:rPr>
          <w:b/>
          <w:color w:val="202124"/>
          <w:sz w:val="24"/>
          <w:szCs w:val="24"/>
        </w:rPr>
        <w:t xml:space="preserve">La Alcaldía Local de Usme Rinde Cuentas a la ciudadanía </w:t>
      </w:r>
    </w:p>
    <w:p w14:paraId="58DC5A27" w14:textId="22C00BC8" w:rsidR="00E12720" w:rsidRDefault="00000000">
      <w:pPr>
        <w:spacing w:after="160"/>
        <w:jc w:val="both"/>
        <w:rPr>
          <w:color w:val="202124"/>
          <w:sz w:val="24"/>
          <w:szCs w:val="24"/>
        </w:rPr>
      </w:pPr>
      <w:r>
        <w:rPr>
          <w:b/>
          <w:color w:val="202124"/>
          <w:sz w:val="24"/>
          <w:szCs w:val="24"/>
        </w:rPr>
        <w:t xml:space="preserve">Bogotá,  2                                                                                                                                                                                                                                              </w:t>
      </w:r>
      <w:r>
        <w:rPr>
          <w:b/>
          <w:color w:val="202124"/>
          <w:sz w:val="24"/>
          <w:szCs w:val="24"/>
        </w:rPr>
        <w:tab/>
        <w:t xml:space="preserve">                                                                                                                                                                                                                                                                                                                       de abril de 2024: </w:t>
      </w:r>
      <w:r>
        <w:rPr>
          <w:color w:val="202124"/>
          <w:sz w:val="24"/>
          <w:szCs w:val="24"/>
        </w:rPr>
        <w:t>El próximo</w:t>
      </w:r>
      <w:r>
        <w:rPr>
          <w:b/>
          <w:color w:val="202124"/>
          <w:sz w:val="24"/>
          <w:szCs w:val="24"/>
        </w:rPr>
        <w:t xml:space="preserve"> </w:t>
      </w:r>
      <w:r>
        <w:rPr>
          <w:color w:val="202124"/>
          <w:sz w:val="24"/>
          <w:szCs w:val="24"/>
        </w:rPr>
        <w:t>sábado 6 de abril</w:t>
      </w:r>
      <w:r w:rsidR="00BF4773">
        <w:rPr>
          <w:color w:val="202124"/>
          <w:sz w:val="24"/>
          <w:szCs w:val="24"/>
        </w:rPr>
        <w:t>,</w:t>
      </w:r>
      <w:r>
        <w:rPr>
          <w:color w:val="202124"/>
          <w:sz w:val="24"/>
          <w:szCs w:val="24"/>
        </w:rPr>
        <w:t xml:space="preserve"> la Alcaldía Local de Usme llevará a cabo su Audiencia </w:t>
      </w:r>
      <w:r w:rsidR="00BF4773">
        <w:rPr>
          <w:color w:val="202124"/>
          <w:sz w:val="24"/>
          <w:szCs w:val="24"/>
        </w:rPr>
        <w:t xml:space="preserve">Pública </w:t>
      </w:r>
      <w:r>
        <w:rPr>
          <w:color w:val="202124"/>
          <w:sz w:val="24"/>
          <w:szCs w:val="24"/>
        </w:rPr>
        <w:t>de Rendición de Cuentas de la vigencia 2023, teniendo como ejes principales los temas de seguridad, infraestructura, bienestar animal, salud, cultura, deporte y ruralidad</w:t>
      </w:r>
      <w:r w:rsidR="00BF4773">
        <w:rPr>
          <w:color w:val="202124"/>
          <w:sz w:val="24"/>
          <w:szCs w:val="24"/>
        </w:rPr>
        <w:t>.</w:t>
      </w:r>
    </w:p>
    <w:p w14:paraId="187B6C67" w14:textId="1D8BED60" w:rsidR="00E12720" w:rsidRDefault="00BF4773">
      <w:pPr>
        <w:spacing w:after="160"/>
        <w:jc w:val="both"/>
        <w:rPr>
          <w:color w:val="202124"/>
          <w:sz w:val="24"/>
          <w:szCs w:val="24"/>
        </w:rPr>
      </w:pPr>
      <w:r>
        <w:rPr>
          <w:color w:val="202124"/>
          <w:sz w:val="24"/>
          <w:szCs w:val="24"/>
        </w:rPr>
        <w:t>Durante</w:t>
      </w:r>
      <w:r w:rsidR="00000000">
        <w:rPr>
          <w:color w:val="202124"/>
          <w:sz w:val="24"/>
          <w:szCs w:val="24"/>
        </w:rPr>
        <w:t xml:space="preserve"> la audiencia se presentarán </w:t>
      </w:r>
      <w:r>
        <w:rPr>
          <w:color w:val="202124"/>
          <w:sz w:val="24"/>
          <w:szCs w:val="24"/>
        </w:rPr>
        <w:t xml:space="preserve">también los </w:t>
      </w:r>
      <w:r w:rsidR="00000000">
        <w:rPr>
          <w:color w:val="202124"/>
          <w:sz w:val="24"/>
          <w:szCs w:val="24"/>
        </w:rPr>
        <w:t xml:space="preserve">logros obtenidos durante el </w:t>
      </w:r>
      <w:r>
        <w:rPr>
          <w:color w:val="202124"/>
          <w:sz w:val="24"/>
          <w:szCs w:val="24"/>
        </w:rPr>
        <w:t>año inmediatamente anterior</w:t>
      </w:r>
      <w:r w:rsidR="00000000">
        <w:rPr>
          <w:color w:val="202124"/>
          <w:sz w:val="24"/>
          <w:szCs w:val="24"/>
        </w:rPr>
        <w:t>, en términos de presupuesto, ejecución y acciones</w:t>
      </w:r>
      <w:r>
        <w:rPr>
          <w:color w:val="202124"/>
          <w:sz w:val="24"/>
          <w:szCs w:val="24"/>
        </w:rPr>
        <w:t xml:space="preserve"> que mejoraron la calidad de vida de los usmeños. Entre los objetivos alcanzados, se destaca que la</w:t>
      </w:r>
      <w:r w:rsidR="00000000">
        <w:rPr>
          <w:color w:val="202124"/>
          <w:sz w:val="24"/>
          <w:szCs w:val="24"/>
        </w:rPr>
        <w:t xml:space="preserve"> Alcaldía </w:t>
      </w:r>
      <w:r>
        <w:rPr>
          <w:color w:val="202124"/>
          <w:sz w:val="24"/>
          <w:szCs w:val="24"/>
        </w:rPr>
        <w:t xml:space="preserve">Local de Usme ocupó el segundo puesto a nivel distrital </w:t>
      </w:r>
      <w:r w:rsidR="00000000">
        <w:rPr>
          <w:color w:val="202124"/>
          <w:sz w:val="24"/>
          <w:szCs w:val="24"/>
        </w:rPr>
        <w:t xml:space="preserve">como </w:t>
      </w:r>
      <w:r>
        <w:rPr>
          <w:color w:val="202124"/>
          <w:sz w:val="24"/>
          <w:szCs w:val="24"/>
        </w:rPr>
        <w:t>E</w:t>
      </w:r>
      <w:r w:rsidR="00000000">
        <w:rPr>
          <w:color w:val="202124"/>
          <w:sz w:val="24"/>
          <w:szCs w:val="24"/>
        </w:rPr>
        <w:t xml:space="preserve">ntidad </w:t>
      </w:r>
      <w:r>
        <w:rPr>
          <w:color w:val="202124"/>
          <w:sz w:val="24"/>
          <w:szCs w:val="24"/>
        </w:rPr>
        <w:t xml:space="preserve">local </w:t>
      </w:r>
      <w:r w:rsidR="00000000">
        <w:rPr>
          <w:color w:val="202124"/>
          <w:sz w:val="24"/>
          <w:szCs w:val="24"/>
        </w:rPr>
        <w:t>en lograr el 100% de su ejecución presupuestal.</w:t>
      </w:r>
    </w:p>
    <w:p w14:paraId="51FA63EA" w14:textId="77777777" w:rsidR="00E12720" w:rsidRDefault="00000000">
      <w:pPr>
        <w:spacing w:after="160"/>
        <w:jc w:val="both"/>
        <w:rPr>
          <w:b/>
          <w:color w:val="202124"/>
          <w:sz w:val="24"/>
          <w:szCs w:val="24"/>
        </w:rPr>
      </w:pPr>
      <w:r>
        <w:rPr>
          <w:b/>
          <w:color w:val="202124"/>
          <w:sz w:val="24"/>
          <w:szCs w:val="24"/>
        </w:rPr>
        <w:t>Deporte, recreación y cultura</w:t>
      </w:r>
    </w:p>
    <w:p w14:paraId="4B060FEA" w14:textId="77777777" w:rsidR="00BF4773" w:rsidRDefault="00000000">
      <w:pPr>
        <w:spacing w:after="160"/>
        <w:jc w:val="both"/>
        <w:rPr>
          <w:color w:val="202124"/>
          <w:sz w:val="24"/>
          <w:szCs w:val="24"/>
        </w:rPr>
      </w:pPr>
      <w:r>
        <w:rPr>
          <w:color w:val="202124"/>
          <w:sz w:val="24"/>
          <w:szCs w:val="24"/>
        </w:rPr>
        <w:t xml:space="preserve">Uno de los pilares fundamentales para la gestión </w:t>
      </w:r>
      <w:r w:rsidR="00BF4773">
        <w:rPr>
          <w:color w:val="202124"/>
          <w:sz w:val="24"/>
          <w:szCs w:val="24"/>
        </w:rPr>
        <w:t xml:space="preserve">en 2023 </w:t>
      </w:r>
      <w:r>
        <w:rPr>
          <w:color w:val="202124"/>
          <w:sz w:val="24"/>
          <w:szCs w:val="24"/>
        </w:rPr>
        <w:t xml:space="preserve">local fue capacitar personas en distintas disciplinas, para ello 800 </w:t>
      </w:r>
      <w:r w:rsidR="00BF4773">
        <w:rPr>
          <w:color w:val="202124"/>
          <w:sz w:val="24"/>
          <w:szCs w:val="24"/>
        </w:rPr>
        <w:t>ciudadanos</w:t>
      </w:r>
      <w:r>
        <w:rPr>
          <w:color w:val="202124"/>
          <w:sz w:val="24"/>
          <w:szCs w:val="24"/>
        </w:rPr>
        <w:t xml:space="preserve"> se vieron beneficiadas con la entrega de diferentes elementos deportivos</w:t>
      </w:r>
      <w:r w:rsidR="00BF4773">
        <w:rPr>
          <w:color w:val="202124"/>
          <w:sz w:val="24"/>
          <w:szCs w:val="24"/>
        </w:rPr>
        <w:t xml:space="preserve">. </w:t>
      </w:r>
    </w:p>
    <w:p w14:paraId="0DD7E034" w14:textId="70962493" w:rsidR="00E12720" w:rsidRDefault="00BF4773">
      <w:pPr>
        <w:spacing w:after="160"/>
        <w:jc w:val="both"/>
        <w:rPr>
          <w:color w:val="202124"/>
          <w:sz w:val="24"/>
          <w:szCs w:val="24"/>
        </w:rPr>
      </w:pPr>
      <w:r>
        <w:rPr>
          <w:color w:val="202124"/>
          <w:sz w:val="24"/>
          <w:szCs w:val="24"/>
        </w:rPr>
        <w:t>A</w:t>
      </w:r>
      <w:r w:rsidR="00000000">
        <w:rPr>
          <w:color w:val="202124"/>
          <w:sz w:val="24"/>
          <w:szCs w:val="24"/>
        </w:rPr>
        <w:t xml:space="preserve">demás, se propiciaron espacios de integración y sano esparcimiento para todos los grupos sociales por medio de diferentes eventos deportivos como la Carrera atlética Cross country, </w:t>
      </w:r>
      <w:r>
        <w:rPr>
          <w:color w:val="202124"/>
          <w:sz w:val="24"/>
          <w:szCs w:val="24"/>
        </w:rPr>
        <w:t xml:space="preserve">los </w:t>
      </w:r>
      <w:r w:rsidR="00000000">
        <w:rPr>
          <w:color w:val="202124"/>
          <w:sz w:val="24"/>
          <w:szCs w:val="24"/>
        </w:rPr>
        <w:t xml:space="preserve">Juegos </w:t>
      </w:r>
      <w:r>
        <w:rPr>
          <w:color w:val="202124"/>
          <w:sz w:val="24"/>
          <w:szCs w:val="24"/>
        </w:rPr>
        <w:t>R</w:t>
      </w:r>
      <w:r w:rsidR="00000000">
        <w:rPr>
          <w:color w:val="202124"/>
          <w:sz w:val="24"/>
          <w:szCs w:val="24"/>
        </w:rPr>
        <w:t>ecreo deportivos incluyentes, sesiones de actividad física para adultos mayores, entre otras, beneficiando a más de 2</w:t>
      </w:r>
      <w:r>
        <w:rPr>
          <w:color w:val="202124"/>
          <w:sz w:val="24"/>
          <w:szCs w:val="24"/>
        </w:rPr>
        <w:t>.</w:t>
      </w:r>
      <w:r w:rsidR="00000000">
        <w:rPr>
          <w:color w:val="202124"/>
          <w:sz w:val="24"/>
          <w:szCs w:val="24"/>
        </w:rPr>
        <w:t>300 personas con estas actividades.</w:t>
      </w:r>
    </w:p>
    <w:p w14:paraId="2DC0D65A" w14:textId="3B88F065" w:rsidR="00E12720" w:rsidRDefault="00000000">
      <w:pPr>
        <w:spacing w:after="160"/>
        <w:jc w:val="both"/>
        <w:rPr>
          <w:color w:val="202124"/>
          <w:sz w:val="24"/>
          <w:szCs w:val="24"/>
        </w:rPr>
      </w:pPr>
      <w:r>
        <w:rPr>
          <w:color w:val="202124"/>
          <w:sz w:val="24"/>
          <w:szCs w:val="24"/>
        </w:rPr>
        <w:t>Por su parte, la cultura</w:t>
      </w:r>
      <w:r w:rsidR="00BF4773">
        <w:rPr>
          <w:color w:val="202124"/>
          <w:sz w:val="24"/>
          <w:szCs w:val="24"/>
        </w:rPr>
        <w:t>,</w:t>
      </w:r>
      <w:r>
        <w:rPr>
          <w:color w:val="202124"/>
          <w:sz w:val="24"/>
          <w:szCs w:val="24"/>
        </w:rPr>
        <w:t xml:space="preserve"> </w:t>
      </w:r>
      <w:r w:rsidR="00BF4773">
        <w:rPr>
          <w:color w:val="202124"/>
          <w:sz w:val="24"/>
          <w:szCs w:val="24"/>
        </w:rPr>
        <w:t>a través del</w:t>
      </w:r>
      <w:r>
        <w:rPr>
          <w:color w:val="202124"/>
          <w:sz w:val="24"/>
          <w:szCs w:val="24"/>
        </w:rPr>
        <w:t xml:space="preserve"> programa </w:t>
      </w:r>
      <w:r w:rsidR="00BF4773">
        <w:rPr>
          <w:color w:val="202124"/>
          <w:sz w:val="24"/>
          <w:szCs w:val="24"/>
        </w:rPr>
        <w:t>“</w:t>
      </w:r>
      <w:r>
        <w:rPr>
          <w:color w:val="202124"/>
          <w:sz w:val="24"/>
          <w:szCs w:val="24"/>
        </w:rPr>
        <w:t>Es Cultura Local</w:t>
      </w:r>
      <w:r w:rsidR="00BF4773">
        <w:rPr>
          <w:color w:val="202124"/>
          <w:sz w:val="24"/>
          <w:szCs w:val="24"/>
        </w:rPr>
        <w:t>”</w:t>
      </w:r>
      <w:r>
        <w:rPr>
          <w:color w:val="202124"/>
          <w:sz w:val="24"/>
          <w:szCs w:val="24"/>
        </w:rPr>
        <w:t xml:space="preserve"> se </w:t>
      </w:r>
      <w:r w:rsidR="00BF4773">
        <w:rPr>
          <w:color w:val="202124"/>
          <w:sz w:val="24"/>
          <w:szCs w:val="24"/>
        </w:rPr>
        <w:t>gestionó</w:t>
      </w:r>
      <w:r>
        <w:rPr>
          <w:color w:val="202124"/>
          <w:sz w:val="24"/>
          <w:szCs w:val="24"/>
        </w:rPr>
        <w:t xml:space="preserve"> 9 festivales entre los que se destacan </w:t>
      </w:r>
      <w:proofErr w:type="spellStart"/>
      <w:r>
        <w:rPr>
          <w:color w:val="202124"/>
          <w:sz w:val="24"/>
          <w:szCs w:val="24"/>
        </w:rPr>
        <w:t>Usmetal</w:t>
      </w:r>
      <w:proofErr w:type="spellEnd"/>
      <w:r>
        <w:rPr>
          <w:color w:val="202124"/>
          <w:sz w:val="24"/>
          <w:szCs w:val="24"/>
        </w:rPr>
        <w:t xml:space="preserve">, Hip Hop y de </w:t>
      </w:r>
      <w:r w:rsidR="00BF4773">
        <w:rPr>
          <w:color w:val="202124"/>
          <w:sz w:val="24"/>
          <w:szCs w:val="24"/>
        </w:rPr>
        <w:t>A</w:t>
      </w:r>
      <w:r>
        <w:rPr>
          <w:color w:val="202124"/>
          <w:sz w:val="24"/>
          <w:szCs w:val="24"/>
        </w:rPr>
        <w:t>rtes Circenses</w:t>
      </w:r>
      <w:r w:rsidR="00BF4773">
        <w:rPr>
          <w:color w:val="202124"/>
          <w:sz w:val="24"/>
          <w:szCs w:val="24"/>
        </w:rPr>
        <w:t>.</w:t>
      </w:r>
      <w:r>
        <w:rPr>
          <w:color w:val="202124"/>
          <w:sz w:val="24"/>
          <w:szCs w:val="24"/>
        </w:rPr>
        <w:t xml:space="preserve"> </w:t>
      </w:r>
      <w:r w:rsidR="00BF4773">
        <w:rPr>
          <w:color w:val="202124"/>
          <w:sz w:val="24"/>
          <w:szCs w:val="24"/>
        </w:rPr>
        <w:t>A</w:t>
      </w:r>
      <w:r>
        <w:rPr>
          <w:color w:val="202124"/>
          <w:sz w:val="24"/>
          <w:szCs w:val="24"/>
        </w:rPr>
        <w:t>dicionalmente</w:t>
      </w:r>
      <w:r w:rsidR="00BF4773">
        <w:rPr>
          <w:color w:val="202124"/>
          <w:sz w:val="24"/>
          <w:szCs w:val="24"/>
        </w:rPr>
        <w:t>,</w:t>
      </w:r>
      <w:r>
        <w:rPr>
          <w:color w:val="202124"/>
          <w:sz w:val="24"/>
          <w:szCs w:val="24"/>
        </w:rPr>
        <w:t xml:space="preserve"> 13 de ellos </w:t>
      </w:r>
      <w:r w:rsidR="00BF4773">
        <w:rPr>
          <w:color w:val="202124"/>
          <w:sz w:val="24"/>
          <w:szCs w:val="24"/>
        </w:rPr>
        <w:t xml:space="preserve">se dieron de forma </w:t>
      </w:r>
      <w:r>
        <w:rPr>
          <w:color w:val="202124"/>
          <w:sz w:val="24"/>
          <w:szCs w:val="24"/>
        </w:rPr>
        <w:t>sectoria</w:t>
      </w:r>
      <w:r w:rsidR="00BF4773">
        <w:rPr>
          <w:color w:val="202124"/>
          <w:sz w:val="24"/>
          <w:szCs w:val="24"/>
        </w:rPr>
        <w:t>l</w:t>
      </w:r>
      <w:r>
        <w:rPr>
          <w:color w:val="202124"/>
          <w:sz w:val="24"/>
          <w:szCs w:val="24"/>
        </w:rPr>
        <w:t xml:space="preserve">, </w:t>
      </w:r>
      <w:r w:rsidR="00BF4773">
        <w:rPr>
          <w:color w:val="202124"/>
          <w:sz w:val="24"/>
          <w:szCs w:val="24"/>
        </w:rPr>
        <w:t>tales como</w:t>
      </w:r>
      <w:r>
        <w:rPr>
          <w:color w:val="202124"/>
          <w:sz w:val="24"/>
          <w:szCs w:val="24"/>
        </w:rPr>
        <w:t xml:space="preserve"> el festival LGBTIQ+, de persona mayor y de discapacidad, entre otros.</w:t>
      </w:r>
    </w:p>
    <w:p w14:paraId="59EBFBA8" w14:textId="77777777" w:rsidR="00E12720" w:rsidRDefault="00000000">
      <w:pPr>
        <w:spacing w:after="160"/>
        <w:jc w:val="both"/>
        <w:rPr>
          <w:b/>
          <w:color w:val="202124"/>
          <w:sz w:val="24"/>
          <w:szCs w:val="24"/>
        </w:rPr>
      </w:pPr>
      <w:r>
        <w:rPr>
          <w:b/>
          <w:color w:val="202124"/>
          <w:sz w:val="24"/>
          <w:szCs w:val="24"/>
        </w:rPr>
        <w:t>Infraestructura</w:t>
      </w:r>
    </w:p>
    <w:p w14:paraId="4D224861" w14:textId="49DDA7A7" w:rsidR="00E12720" w:rsidRDefault="00BF4773">
      <w:pPr>
        <w:spacing w:after="160"/>
        <w:jc w:val="both"/>
        <w:rPr>
          <w:color w:val="202124"/>
          <w:sz w:val="24"/>
          <w:szCs w:val="24"/>
        </w:rPr>
      </w:pPr>
      <w:r>
        <w:rPr>
          <w:color w:val="202124"/>
          <w:sz w:val="24"/>
          <w:szCs w:val="24"/>
        </w:rPr>
        <w:t>El año pasado,</w:t>
      </w:r>
      <w:r w:rsidR="00000000">
        <w:rPr>
          <w:color w:val="202124"/>
          <w:sz w:val="24"/>
          <w:szCs w:val="24"/>
        </w:rPr>
        <w:t xml:space="preserve"> las obras de infraestructura no pararon, en términos de vías fueron intervenidos 166 segmentos viales en zona urbana y 23 en zona rural</w:t>
      </w:r>
      <w:r>
        <w:rPr>
          <w:color w:val="202124"/>
          <w:sz w:val="24"/>
          <w:szCs w:val="24"/>
        </w:rPr>
        <w:t>. T</w:t>
      </w:r>
      <w:r w:rsidR="00000000">
        <w:rPr>
          <w:color w:val="202124"/>
          <w:sz w:val="24"/>
          <w:szCs w:val="24"/>
        </w:rPr>
        <w:t xml:space="preserve">ambién se intervinieron 6 salones comunales y 13 parques </w:t>
      </w:r>
      <w:r>
        <w:rPr>
          <w:color w:val="202124"/>
          <w:sz w:val="24"/>
          <w:szCs w:val="24"/>
        </w:rPr>
        <w:t>dotados</w:t>
      </w:r>
      <w:r w:rsidR="00000000">
        <w:rPr>
          <w:color w:val="202124"/>
          <w:sz w:val="24"/>
          <w:szCs w:val="24"/>
        </w:rPr>
        <w:t xml:space="preserve"> con nuevas estructuras para su debido funcionamiento.</w:t>
      </w:r>
    </w:p>
    <w:p w14:paraId="373F7DBE" w14:textId="307B5205" w:rsidR="00E12720" w:rsidRDefault="00000000">
      <w:pPr>
        <w:spacing w:after="160"/>
        <w:jc w:val="both"/>
        <w:rPr>
          <w:color w:val="202124"/>
          <w:sz w:val="24"/>
          <w:szCs w:val="24"/>
        </w:rPr>
      </w:pPr>
      <w:r>
        <w:rPr>
          <w:color w:val="202124"/>
          <w:sz w:val="24"/>
          <w:szCs w:val="24"/>
        </w:rPr>
        <w:lastRenderedPageBreak/>
        <w:t xml:space="preserve">Así mismo, </w:t>
      </w:r>
      <w:r w:rsidR="00BF4773">
        <w:rPr>
          <w:color w:val="202124"/>
          <w:sz w:val="24"/>
          <w:szCs w:val="24"/>
        </w:rPr>
        <w:t>se entregaron</w:t>
      </w:r>
      <w:r>
        <w:rPr>
          <w:color w:val="202124"/>
          <w:sz w:val="24"/>
          <w:szCs w:val="24"/>
        </w:rPr>
        <w:t xml:space="preserve"> las adecuaciones de los acueductos veredales de Aguas Doradas, Las Margaritas, Manantial de Aguas de Corinto y Aguas Cristalinas Soches, para su optimización y mejoramiento de la calidad del agua. </w:t>
      </w:r>
    </w:p>
    <w:p w14:paraId="19C7A6F6" w14:textId="77777777" w:rsidR="00E12720" w:rsidRDefault="00000000">
      <w:pPr>
        <w:spacing w:after="160"/>
        <w:jc w:val="both"/>
        <w:rPr>
          <w:b/>
          <w:color w:val="202124"/>
          <w:sz w:val="24"/>
          <w:szCs w:val="24"/>
        </w:rPr>
      </w:pPr>
      <w:r>
        <w:rPr>
          <w:b/>
          <w:color w:val="202124"/>
          <w:sz w:val="24"/>
          <w:szCs w:val="24"/>
        </w:rPr>
        <w:t>Medio ambiente, ruralidad y animales</w:t>
      </w:r>
    </w:p>
    <w:p w14:paraId="53E31119" w14:textId="77777777" w:rsidR="007C3140" w:rsidRDefault="00000000">
      <w:pPr>
        <w:spacing w:after="160"/>
        <w:jc w:val="both"/>
        <w:rPr>
          <w:color w:val="202124"/>
          <w:sz w:val="24"/>
          <w:szCs w:val="24"/>
        </w:rPr>
      </w:pPr>
      <w:r>
        <w:rPr>
          <w:color w:val="202124"/>
          <w:sz w:val="24"/>
          <w:szCs w:val="24"/>
        </w:rPr>
        <w:t>El segundo propósito del Plan de Desarrollo dictaba: Cambiar nuestros hábitos de vida para reverdecer a Bogotá y adaptarnos y mitigar la crisis climática, razón por la cual se implementaron acciones como procesos de educación sostenible que benefici</w:t>
      </w:r>
      <w:r w:rsidR="007C3140">
        <w:rPr>
          <w:color w:val="202124"/>
          <w:sz w:val="24"/>
          <w:szCs w:val="24"/>
        </w:rPr>
        <w:t>aron</w:t>
      </w:r>
      <w:r>
        <w:rPr>
          <w:color w:val="202124"/>
          <w:sz w:val="24"/>
          <w:szCs w:val="24"/>
        </w:rPr>
        <w:t xml:space="preserve"> a más de 220 personas. </w:t>
      </w:r>
    </w:p>
    <w:p w14:paraId="1B5CE30B" w14:textId="2574902A" w:rsidR="00E12720" w:rsidRDefault="00000000">
      <w:pPr>
        <w:spacing w:after="160"/>
        <w:jc w:val="both"/>
        <w:rPr>
          <w:color w:val="202124"/>
          <w:sz w:val="24"/>
          <w:szCs w:val="24"/>
        </w:rPr>
      </w:pPr>
      <w:r>
        <w:rPr>
          <w:color w:val="202124"/>
          <w:sz w:val="24"/>
          <w:szCs w:val="24"/>
        </w:rPr>
        <w:t>También fueron intervenidos espacios con afectaciones forestales, especies invasoras, zonas de reserva forestal, rondas de quebradas y otros espacios de cuidado ambiental</w:t>
      </w:r>
      <w:r w:rsidR="007C3140">
        <w:rPr>
          <w:color w:val="202124"/>
          <w:sz w:val="24"/>
          <w:szCs w:val="24"/>
        </w:rPr>
        <w:t xml:space="preserve"> a partir de la siembra de </w:t>
      </w:r>
      <w:r>
        <w:rPr>
          <w:color w:val="202124"/>
          <w:sz w:val="24"/>
          <w:szCs w:val="24"/>
        </w:rPr>
        <w:t>s más de 1</w:t>
      </w:r>
      <w:r w:rsidR="007C3140">
        <w:rPr>
          <w:color w:val="202124"/>
          <w:sz w:val="24"/>
          <w:szCs w:val="24"/>
        </w:rPr>
        <w:t>.</w:t>
      </w:r>
      <w:r>
        <w:rPr>
          <w:color w:val="202124"/>
          <w:sz w:val="24"/>
          <w:szCs w:val="24"/>
        </w:rPr>
        <w:t xml:space="preserve">500 árboles. </w:t>
      </w:r>
    </w:p>
    <w:p w14:paraId="557ECEE6" w14:textId="7B78421D" w:rsidR="00E12720" w:rsidRDefault="00000000">
      <w:pPr>
        <w:spacing w:after="160"/>
        <w:jc w:val="both"/>
        <w:rPr>
          <w:color w:val="202124"/>
          <w:sz w:val="24"/>
          <w:szCs w:val="24"/>
        </w:rPr>
      </w:pPr>
      <w:r>
        <w:rPr>
          <w:color w:val="202124"/>
          <w:sz w:val="24"/>
          <w:szCs w:val="24"/>
        </w:rPr>
        <w:t xml:space="preserve">Por otro lado, la oficina de la Unidad Local de Asistencia Técnica </w:t>
      </w:r>
      <w:r w:rsidR="007C3140">
        <w:rPr>
          <w:color w:val="202124"/>
          <w:sz w:val="24"/>
          <w:szCs w:val="24"/>
        </w:rPr>
        <w:t>Agropecuaria</w:t>
      </w:r>
      <w:r>
        <w:rPr>
          <w:color w:val="202124"/>
          <w:sz w:val="24"/>
          <w:szCs w:val="24"/>
        </w:rPr>
        <w:t xml:space="preserve"> apoyó a 802 predios rurales con asistencias pecuarias, ambientales, </w:t>
      </w:r>
      <w:r w:rsidR="007C3140">
        <w:rPr>
          <w:color w:val="202124"/>
          <w:sz w:val="24"/>
          <w:szCs w:val="24"/>
        </w:rPr>
        <w:t>agrícolas</w:t>
      </w:r>
      <w:r>
        <w:rPr>
          <w:color w:val="202124"/>
          <w:sz w:val="24"/>
          <w:szCs w:val="24"/>
        </w:rPr>
        <w:t xml:space="preserve"> y además fomentó la comercialización de productos rurales por medio de los Mercados Campesinos</w:t>
      </w:r>
      <w:r w:rsidR="007C3140">
        <w:rPr>
          <w:color w:val="202124"/>
          <w:sz w:val="24"/>
          <w:szCs w:val="24"/>
        </w:rPr>
        <w:t xml:space="preserve"> con la realización de decenas de eventos comerciales. </w:t>
      </w:r>
    </w:p>
    <w:p w14:paraId="7CD42657" w14:textId="7A2ABFBC" w:rsidR="00E12720" w:rsidRDefault="00000000">
      <w:pPr>
        <w:spacing w:after="160"/>
        <w:jc w:val="both"/>
        <w:rPr>
          <w:color w:val="202124"/>
          <w:sz w:val="24"/>
          <w:szCs w:val="24"/>
        </w:rPr>
      </w:pPr>
      <w:r>
        <w:rPr>
          <w:color w:val="202124"/>
          <w:sz w:val="24"/>
          <w:szCs w:val="24"/>
        </w:rPr>
        <w:t>En términos de bienestar animal, 24.638 animales fueron atendidos en brigadas médico-veterinarias, esterilización, urgencias veterinarias, visitas de verificación de presuntos casos de maltrato y jornadas de adopción, además de sensibilizar a más de 7</w:t>
      </w:r>
      <w:r w:rsidR="007C3140">
        <w:rPr>
          <w:color w:val="202124"/>
          <w:sz w:val="24"/>
          <w:szCs w:val="24"/>
        </w:rPr>
        <w:t>.</w:t>
      </w:r>
      <w:r>
        <w:rPr>
          <w:color w:val="202124"/>
          <w:sz w:val="24"/>
          <w:szCs w:val="24"/>
        </w:rPr>
        <w:t>786 ciudadanos en tenencia, cuidado responsable y adopción.</w:t>
      </w:r>
    </w:p>
    <w:p w14:paraId="71CFE12C" w14:textId="77777777" w:rsidR="00E12720" w:rsidRDefault="00000000">
      <w:pPr>
        <w:spacing w:after="160"/>
        <w:jc w:val="both"/>
        <w:rPr>
          <w:b/>
          <w:color w:val="202124"/>
          <w:sz w:val="24"/>
          <w:szCs w:val="24"/>
        </w:rPr>
      </w:pPr>
      <w:r>
        <w:rPr>
          <w:color w:val="202124"/>
          <w:sz w:val="24"/>
          <w:szCs w:val="24"/>
        </w:rPr>
        <w:t xml:space="preserve">Para la Alcaldía Local es de suma importancia que este proceso de total transparencia sea presentado ante la comunidad como parte de un control social de la gestión de la entidad. </w:t>
      </w:r>
    </w:p>
    <w:p w14:paraId="4EFE41B4" w14:textId="77777777" w:rsidR="00E12720" w:rsidRDefault="00E12720">
      <w:pPr>
        <w:spacing w:after="160"/>
        <w:jc w:val="both"/>
        <w:rPr>
          <w:color w:val="202124"/>
          <w:sz w:val="24"/>
          <w:szCs w:val="24"/>
        </w:rPr>
      </w:pPr>
    </w:p>
    <w:p w14:paraId="0B2B85D0" w14:textId="77777777" w:rsidR="00E12720" w:rsidRDefault="00E12720">
      <w:pPr>
        <w:spacing w:after="160"/>
        <w:jc w:val="both"/>
        <w:rPr>
          <w:color w:val="202124"/>
          <w:sz w:val="24"/>
          <w:szCs w:val="24"/>
        </w:rPr>
      </w:pPr>
    </w:p>
    <w:p w14:paraId="5842FA5C" w14:textId="77777777" w:rsidR="00E12720" w:rsidRDefault="00E12720">
      <w:pPr>
        <w:spacing w:after="160"/>
        <w:jc w:val="both"/>
        <w:rPr>
          <w:sz w:val="24"/>
          <w:szCs w:val="24"/>
          <w:highlight w:val="white"/>
        </w:rPr>
      </w:pPr>
    </w:p>
    <w:p w14:paraId="1C8B8AFE" w14:textId="77777777" w:rsidR="00E12720" w:rsidRDefault="00E12720">
      <w:pPr>
        <w:spacing w:after="160" w:line="360" w:lineRule="auto"/>
        <w:jc w:val="both"/>
        <w:rPr>
          <w:color w:val="202124"/>
          <w:sz w:val="24"/>
          <w:szCs w:val="24"/>
        </w:rPr>
      </w:pPr>
    </w:p>
    <w:p w14:paraId="305FF782" w14:textId="77777777" w:rsidR="00E12720" w:rsidRDefault="00000000">
      <w:pPr>
        <w:spacing w:after="160" w:line="360" w:lineRule="auto"/>
        <w:jc w:val="both"/>
        <w:rPr>
          <w:b/>
          <w:sz w:val="20"/>
          <w:szCs w:val="20"/>
        </w:rPr>
      </w:pPr>
      <w:r>
        <w:rPr>
          <w:b/>
          <w:sz w:val="20"/>
          <w:szCs w:val="20"/>
        </w:rPr>
        <w:t>Valeria Gómez Montaña</w:t>
      </w:r>
    </w:p>
    <w:p w14:paraId="6CA709C5" w14:textId="77777777" w:rsidR="00E12720" w:rsidRDefault="00000000">
      <w:pPr>
        <w:spacing w:before="240" w:after="240" w:line="360" w:lineRule="auto"/>
        <w:rPr>
          <w:b/>
          <w:sz w:val="20"/>
          <w:szCs w:val="20"/>
        </w:rPr>
      </w:pPr>
      <w:r>
        <w:rPr>
          <w:b/>
          <w:sz w:val="20"/>
          <w:szCs w:val="20"/>
        </w:rPr>
        <w:t>Jefe de prensa</w:t>
      </w:r>
    </w:p>
    <w:p w14:paraId="5F2EB8B6" w14:textId="77777777" w:rsidR="00E12720" w:rsidRDefault="00000000">
      <w:pPr>
        <w:spacing w:before="240" w:after="240" w:line="360" w:lineRule="auto"/>
        <w:rPr>
          <w:b/>
          <w:sz w:val="20"/>
          <w:szCs w:val="20"/>
        </w:rPr>
      </w:pPr>
      <w:r>
        <w:rPr>
          <w:b/>
          <w:sz w:val="20"/>
          <w:szCs w:val="20"/>
        </w:rPr>
        <w:t xml:space="preserve">Alcaldía Local de Usme                                                                            </w:t>
      </w:r>
      <w:r>
        <w:rPr>
          <w:b/>
          <w:noProof/>
          <w:sz w:val="20"/>
          <w:szCs w:val="20"/>
        </w:rPr>
        <w:drawing>
          <wp:inline distT="114300" distB="114300" distL="114300" distR="114300" wp14:anchorId="74A900D8" wp14:editId="12924174">
            <wp:extent cx="1981200" cy="1028700"/>
            <wp:effectExtent l="0" t="0" r="0" b="0"/>
            <wp:docPr id="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1981200" cy="1028700"/>
                    </a:xfrm>
                    <a:prstGeom prst="rect">
                      <a:avLst/>
                    </a:prstGeom>
                    <a:ln/>
                  </pic:spPr>
                </pic:pic>
              </a:graphicData>
            </a:graphic>
          </wp:inline>
        </w:drawing>
      </w:r>
    </w:p>
    <w:p w14:paraId="073A3CCF" w14:textId="0783482A" w:rsidR="00E12720" w:rsidRPr="006D7D55" w:rsidRDefault="00000000">
      <w:r>
        <w:t xml:space="preserve"> </w:t>
      </w:r>
    </w:p>
    <w:sectPr w:rsidR="00E12720" w:rsidRPr="006D7D55">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2720"/>
    <w:rsid w:val="006D7D55"/>
    <w:rsid w:val="007C3140"/>
    <w:rsid w:val="00BF4773"/>
    <w:rsid w:val="00E1272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4:docId w14:val="0CC7AFC6"/>
  <w15:docId w15:val="{1F82B080-07ED-8447-87AF-7FD0083DD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s" w:eastAsia="es-MX"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Subttulo">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v/DQscuPh/X6BU0lxZTd7n8qRqw==">CgMxLjA4AHIhMVZIaFF6YWF3Nzh1aEprZzRaV0hJeFRVRlkxcWpiY29x</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Pages>
  <Words>644</Words>
  <Characters>3544</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Franky Yuber Mendoza Castro</cp:lastModifiedBy>
  <cp:revision>3</cp:revision>
  <dcterms:created xsi:type="dcterms:W3CDTF">2024-04-02T21:14:00Z</dcterms:created>
  <dcterms:modified xsi:type="dcterms:W3CDTF">2024-04-02T21:27:00Z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c111285-cafa-4fc9-8a9a-bd902089b24f_Enabled">
    <vt:lpwstr>true</vt:lpwstr>
  </property>
  <property fmtid="{D5CDD505-2E9C-101B-9397-08002B2CF9AE}" pid="3" name="MSIP_Label_fc111285-cafa-4fc9-8a9a-bd902089b24f_SetDate">
    <vt:lpwstr>2024-04-02T21:14:42Z</vt:lpwstr>
  </property>
  <property fmtid="{D5CDD505-2E9C-101B-9397-08002B2CF9AE}" pid="4" name="MSIP_Label_fc111285-cafa-4fc9-8a9a-bd902089b24f_Method">
    <vt:lpwstr>Privileged</vt:lpwstr>
  </property>
  <property fmtid="{D5CDD505-2E9C-101B-9397-08002B2CF9AE}" pid="5" name="MSIP_Label_fc111285-cafa-4fc9-8a9a-bd902089b24f_Name">
    <vt:lpwstr>Public</vt:lpwstr>
  </property>
  <property fmtid="{D5CDD505-2E9C-101B-9397-08002B2CF9AE}" pid="6" name="MSIP_Label_fc111285-cafa-4fc9-8a9a-bd902089b24f_SiteId">
    <vt:lpwstr>cbc2c381-2f2e-4d93-91d1-506c9316ace7</vt:lpwstr>
  </property>
  <property fmtid="{D5CDD505-2E9C-101B-9397-08002B2CF9AE}" pid="7" name="MSIP_Label_fc111285-cafa-4fc9-8a9a-bd902089b24f_ActionId">
    <vt:lpwstr>69043406-4ffe-4ed6-aa98-a1eeae15cd68</vt:lpwstr>
  </property>
  <property fmtid="{D5CDD505-2E9C-101B-9397-08002B2CF9AE}" pid="8" name="MSIP_Label_fc111285-cafa-4fc9-8a9a-bd902089b24f_ContentBits">
    <vt:lpwstr>0</vt:lpwstr>
  </property>
</Properties>
</file>