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1E78" w:rsidRDefault="00000000">
      <w:pPr>
        <w:spacing w:after="160"/>
        <w:rPr>
          <w:b/>
        </w:rPr>
      </w:pPr>
      <w:r>
        <w:rPr>
          <w:b/>
        </w:rPr>
        <w:tab/>
      </w:r>
    </w:p>
    <w:p w:rsidR="006C1E78" w:rsidRDefault="00000000">
      <w:pPr>
        <w:spacing w:after="160"/>
        <w:jc w:val="center"/>
        <w:rPr>
          <w:b/>
          <w:sz w:val="24"/>
          <w:szCs w:val="24"/>
        </w:rPr>
      </w:pPr>
      <w:r>
        <w:rPr>
          <w:b/>
          <w:noProof/>
        </w:rPr>
        <w:drawing>
          <wp:inline distT="114300" distB="114300" distL="114300" distR="114300">
            <wp:extent cx="944400" cy="966709"/>
            <wp:effectExtent l="0" t="0" r="0" b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4400" cy="96670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C1E78" w:rsidRDefault="00000000">
      <w:pPr>
        <w:spacing w:after="1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COMUNICADO DE PRENSA</w:t>
      </w:r>
    </w:p>
    <w:p w:rsidR="006C1E78" w:rsidRDefault="00000000">
      <w:pPr>
        <w:pStyle w:val="Ttulo1"/>
        <w:keepNext w:val="0"/>
        <w:keepLines w:val="0"/>
        <w:spacing w:before="480" w:after="340" w:line="240" w:lineRule="auto"/>
        <w:jc w:val="center"/>
        <w:rPr>
          <w:b/>
          <w:color w:val="202124"/>
          <w:sz w:val="24"/>
          <w:szCs w:val="24"/>
        </w:rPr>
      </w:pPr>
      <w:bookmarkStart w:id="0" w:name="_heading=h.gjdgxs" w:colFirst="0" w:colLast="0"/>
      <w:bookmarkEnd w:id="0"/>
      <w:r>
        <w:rPr>
          <w:b/>
          <w:color w:val="202124"/>
          <w:sz w:val="24"/>
          <w:szCs w:val="24"/>
          <w:highlight w:val="white"/>
        </w:rPr>
        <w:t>$101.537.947.000</w:t>
      </w:r>
      <w:r w:rsidR="002D363A">
        <w:rPr>
          <w:b/>
          <w:color w:val="202124"/>
          <w:sz w:val="24"/>
          <w:szCs w:val="24"/>
          <w:highlight w:val="white"/>
        </w:rPr>
        <w:t xml:space="preserve">, será el presupuesto de la Localidad de Usme para el 2023, un </w:t>
      </w:r>
      <w:r>
        <w:rPr>
          <w:b/>
          <w:color w:val="202124"/>
          <w:sz w:val="24"/>
          <w:szCs w:val="24"/>
          <w:highlight w:val="white"/>
        </w:rPr>
        <w:t xml:space="preserve">20% </w:t>
      </w:r>
      <w:r w:rsidR="002D363A">
        <w:rPr>
          <w:b/>
          <w:color w:val="202124"/>
          <w:sz w:val="24"/>
          <w:szCs w:val="24"/>
        </w:rPr>
        <w:t>m</w:t>
      </w:r>
      <w:r w:rsidR="002D363A">
        <w:rPr>
          <w:b/>
          <w:color w:val="202124"/>
          <w:sz w:val="24"/>
          <w:szCs w:val="24"/>
          <w:highlight w:val="white"/>
        </w:rPr>
        <w:t>á</w:t>
      </w:r>
      <w:r w:rsidR="002D363A">
        <w:rPr>
          <w:b/>
          <w:color w:val="202124"/>
          <w:sz w:val="24"/>
          <w:szCs w:val="24"/>
        </w:rPr>
        <w:t>s frente a este 2022.</w:t>
      </w:r>
    </w:p>
    <w:p w:rsidR="006C1E78" w:rsidRDefault="00000000">
      <w:pPr>
        <w:spacing w:after="160" w:line="360" w:lineRule="auto"/>
        <w:jc w:val="both"/>
        <w:rPr>
          <w:sz w:val="24"/>
          <w:szCs w:val="24"/>
        </w:rPr>
      </w:pPr>
      <w:r>
        <w:rPr>
          <w:b/>
          <w:color w:val="202124"/>
          <w:sz w:val="24"/>
          <w:szCs w:val="24"/>
        </w:rPr>
        <w:t xml:space="preserve">Bogotá, 15    </w:t>
      </w:r>
      <w:r w:rsidR="002D363A">
        <w:rPr>
          <w:b/>
          <w:color w:val="202124"/>
          <w:sz w:val="24"/>
          <w:szCs w:val="24"/>
        </w:rPr>
        <w:t>de diciembre de 2022.</w:t>
      </w:r>
      <w:r>
        <w:rPr>
          <w:b/>
          <w:color w:val="202124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color w:val="202124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>La Alcaldía de Usme le sigue apostando al desarrollo de la localidad, razón por la cual, aumentó en un 20% más su presupuesto para el año 2023 en relación con el monto del 2022</w:t>
      </w:r>
      <w:r w:rsidR="00FE0BAD">
        <w:rPr>
          <w:sz w:val="24"/>
          <w:szCs w:val="24"/>
        </w:rPr>
        <w:t xml:space="preserve">. La inversión para el próximo año se enfocará en </w:t>
      </w:r>
      <w:r>
        <w:rPr>
          <w:sz w:val="24"/>
          <w:szCs w:val="24"/>
        </w:rPr>
        <w:t xml:space="preserve">11 líneas </w:t>
      </w:r>
      <w:r w:rsidR="00FE0BAD">
        <w:rPr>
          <w:sz w:val="24"/>
          <w:szCs w:val="24"/>
        </w:rPr>
        <w:t>de acción</w:t>
      </w:r>
      <w:r>
        <w:rPr>
          <w:sz w:val="24"/>
          <w:szCs w:val="24"/>
        </w:rPr>
        <w:t xml:space="preserve"> divididas en beneficios colectivos para la comunidad. </w:t>
      </w:r>
    </w:p>
    <w:p w:rsidR="006C1E78" w:rsidRDefault="00000000">
      <w:p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Son más de 100 mil millones de pesos, destinados para continuar con el cumplimiento del Plan de Desarrollo Económico 2021 -2024 “Usme: un nuevo contrato social y ambiental para el siglo XXI</w:t>
      </w:r>
      <w:r w:rsidR="00FE0BAD">
        <w:rPr>
          <w:sz w:val="24"/>
          <w:szCs w:val="24"/>
        </w:rPr>
        <w:t xml:space="preserve">”. </w:t>
      </w:r>
    </w:p>
    <w:p w:rsidR="006C1E78" w:rsidRDefault="00000000">
      <w:pPr>
        <w:spacing w:after="160" w:line="360" w:lineRule="auto"/>
        <w:jc w:val="both"/>
        <w:rPr>
          <w:sz w:val="24"/>
          <w:szCs w:val="24"/>
          <w:highlight w:val="white"/>
        </w:rPr>
      </w:pPr>
      <w:r>
        <w:rPr>
          <w:sz w:val="24"/>
          <w:szCs w:val="24"/>
        </w:rPr>
        <w:t xml:space="preserve">Así pues, el alcalde local Dorian de </w:t>
      </w:r>
      <w:proofErr w:type="spellStart"/>
      <w:r>
        <w:rPr>
          <w:sz w:val="24"/>
          <w:szCs w:val="24"/>
        </w:rPr>
        <w:t>Jesus</w:t>
      </w:r>
      <w:proofErr w:type="spellEnd"/>
      <w:r>
        <w:rPr>
          <w:sz w:val="24"/>
          <w:szCs w:val="24"/>
        </w:rPr>
        <w:t xml:space="preserve"> Coquies Maestre, firmó el Acuerdo Local No. 02 del 2022 con el cual avala el presupuesto para la localidad, “para el 2023 la Alcaldía de Usme tendrá una inversión de </w:t>
      </w:r>
      <w:r>
        <w:rPr>
          <w:sz w:val="24"/>
          <w:szCs w:val="24"/>
          <w:highlight w:val="white"/>
        </w:rPr>
        <w:t>$101.537.947.000, a</w:t>
      </w:r>
      <w:r w:rsidR="00FE0BAD">
        <w:rPr>
          <w:sz w:val="24"/>
          <w:szCs w:val="24"/>
          <w:highlight w:val="white"/>
        </w:rPr>
        <w:t>sí mismo,</w:t>
      </w:r>
      <w:r>
        <w:rPr>
          <w:sz w:val="24"/>
          <w:szCs w:val="24"/>
          <w:highlight w:val="white"/>
        </w:rPr>
        <w:t xml:space="preserve"> las principales líneas de inversión local s</w:t>
      </w:r>
      <w:r w:rsidR="00FE0BAD">
        <w:rPr>
          <w:sz w:val="24"/>
          <w:szCs w:val="24"/>
          <w:highlight w:val="white"/>
        </w:rPr>
        <w:t>erán</w:t>
      </w:r>
      <w:r>
        <w:rPr>
          <w:sz w:val="24"/>
          <w:szCs w:val="24"/>
          <w:highlight w:val="white"/>
        </w:rPr>
        <w:t xml:space="preserve">: ruralidad, infraestructura, desarrollo social y </w:t>
      </w:r>
      <w:r w:rsidR="00FE0BAD">
        <w:rPr>
          <w:sz w:val="24"/>
          <w:szCs w:val="24"/>
          <w:highlight w:val="white"/>
        </w:rPr>
        <w:t>el S</w:t>
      </w:r>
      <w:r>
        <w:rPr>
          <w:sz w:val="24"/>
          <w:szCs w:val="24"/>
          <w:highlight w:val="white"/>
        </w:rPr>
        <w:t xml:space="preserve">istema </w:t>
      </w:r>
      <w:r w:rsidR="00FE0BAD">
        <w:rPr>
          <w:sz w:val="24"/>
          <w:szCs w:val="24"/>
          <w:highlight w:val="white"/>
        </w:rPr>
        <w:t>B</w:t>
      </w:r>
      <w:r>
        <w:rPr>
          <w:sz w:val="24"/>
          <w:szCs w:val="24"/>
          <w:highlight w:val="white"/>
        </w:rPr>
        <w:t>ogot</w:t>
      </w:r>
      <w:r w:rsidR="00FE0BAD">
        <w:rPr>
          <w:sz w:val="24"/>
          <w:szCs w:val="24"/>
          <w:highlight w:val="white"/>
        </w:rPr>
        <w:t>á</w:t>
      </w:r>
      <w:r>
        <w:rPr>
          <w:sz w:val="24"/>
          <w:szCs w:val="24"/>
          <w:highlight w:val="white"/>
        </w:rPr>
        <w:t xml:space="preserve"> </w:t>
      </w:r>
      <w:r w:rsidR="00FE0BAD">
        <w:rPr>
          <w:sz w:val="24"/>
          <w:szCs w:val="24"/>
          <w:highlight w:val="white"/>
        </w:rPr>
        <w:t>S</w:t>
      </w:r>
      <w:r>
        <w:rPr>
          <w:sz w:val="24"/>
          <w:szCs w:val="24"/>
          <w:highlight w:val="white"/>
        </w:rPr>
        <w:t>olidaria”, señaló</w:t>
      </w:r>
      <w:r w:rsidR="00FE0BAD">
        <w:rPr>
          <w:sz w:val="24"/>
          <w:szCs w:val="24"/>
          <w:highlight w:val="white"/>
        </w:rPr>
        <w:t xml:space="preserve"> el Alcalde Local de Usme.</w:t>
      </w:r>
    </w:p>
    <w:p w:rsidR="006C1E78" w:rsidRDefault="00000000">
      <w:pPr>
        <w:spacing w:after="160" w:line="360" w:lineRule="auto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De esta forma, de la cifra total, los principales sectores de inversión serán infraestructura con el 31%, Sistema Bogotá Solidaria con el 22% dividido entre Ingreso Mínimo Garantizado y Subsidio Tipo C para adulto mayor, desarrollo social y </w:t>
      </w:r>
      <w:r w:rsidR="00FE0BAD">
        <w:rPr>
          <w:sz w:val="24"/>
          <w:szCs w:val="24"/>
          <w:highlight w:val="white"/>
        </w:rPr>
        <w:t xml:space="preserve">la línea de </w:t>
      </w:r>
      <w:r>
        <w:rPr>
          <w:sz w:val="24"/>
          <w:szCs w:val="24"/>
          <w:highlight w:val="white"/>
        </w:rPr>
        <w:t>cultural con el 12% y ruralidad con 5%.</w:t>
      </w:r>
    </w:p>
    <w:p w:rsidR="006C1E78" w:rsidRDefault="00000000">
      <w:p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 decir, que para la ruralidad hay un presupuesto de $5.732.460.000, con el cual se continuará con programas como el de Mejoramiento de Vivienda Rural, adecuación de Acueductos Veredales, acceso a conectividad y asistencias técnicas.</w:t>
      </w:r>
    </w:p>
    <w:p w:rsidR="006C1E78" w:rsidRDefault="00000000">
      <w:p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Mientras </w:t>
      </w:r>
      <w:r w:rsidR="00E475C9">
        <w:rPr>
          <w:sz w:val="24"/>
          <w:szCs w:val="24"/>
        </w:rPr>
        <w:t>que,</w:t>
      </w:r>
      <w:r>
        <w:rPr>
          <w:sz w:val="24"/>
          <w:szCs w:val="24"/>
        </w:rPr>
        <w:t xml:space="preserve"> para el componente de infraestructura, el valor </w:t>
      </w:r>
      <w:r w:rsidR="00FE0BAD">
        <w:rPr>
          <w:sz w:val="24"/>
          <w:szCs w:val="24"/>
        </w:rPr>
        <w:t>de $</w:t>
      </w:r>
      <w:r>
        <w:rPr>
          <w:sz w:val="24"/>
          <w:szCs w:val="24"/>
        </w:rPr>
        <w:t>31.181.146.000, se verá reflejado</w:t>
      </w:r>
      <w:r w:rsidR="00FE0BAD">
        <w:rPr>
          <w:sz w:val="24"/>
          <w:szCs w:val="24"/>
        </w:rPr>
        <w:t xml:space="preserve"> en: </w:t>
      </w:r>
      <w:r>
        <w:rPr>
          <w:sz w:val="24"/>
          <w:szCs w:val="24"/>
        </w:rPr>
        <w:t xml:space="preserve">dotaciones de salones comunales, construcción de parques y ciclo rutas, además del diseño y conservación de malla vial, una de las principales apuestas de la </w:t>
      </w:r>
      <w:r w:rsidR="00FE0BAD">
        <w:rPr>
          <w:sz w:val="24"/>
          <w:szCs w:val="24"/>
        </w:rPr>
        <w:t xml:space="preserve">actual </w:t>
      </w:r>
      <w:r>
        <w:rPr>
          <w:sz w:val="24"/>
          <w:szCs w:val="24"/>
        </w:rPr>
        <w:t>administración.</w:t>
      </w:r>
    </w:p>
    <w:p w:rsidR="006C1E78" w:rsidRDefault="006C1E78">
      <w:pPr>
        <w:spacing w:after="160" w:line="360" w:lineRule="auto"/>
        <w:jc w:val="both"/>
        <w:rPr>
          <w:rFonts w:ascii="Calibri" w:eastAsia="Calibri" w:hAnsi="Calibri" w:cs="Calibri"/>
          <w:color w:val="202124"/>
          <w:sz w:val="24"/>
          <w:szCs w:val="24"/>
        </w:rPr>
      </w:pPr>
    </w:p>
    <w:p w:rsidR="006C1E78" w:rsidRDefault="006C1E78">
      <w:pPr>
        <w:spacing w:after="160" w:line="360" w:lineRule="auto"/>
        <w:jc w:val="both"/>
        <w:rPr>
          <w:rFonts w:ascii="Calibri" w:eastAsia="Calibri" w:hAnsi="Calibri" w:cs="Calibri"/>
          <w:color w:val="202124"/>
          <w:sz w:val="24"/>
          <w:szCs w:val="24"/>
        </w:rPr>
      </w:pPr>
    </w:p>
    <w:p w:rsidR="006C1E78" w:rsidRDefault="006C1E78">
      <w:pPr>
        <w:spacing w:after="160" w:line="360" w:lineRule="auto"/>
        <w:jc w:val="both"/>
        <w:rPr>
          <w:rFonts w:ascii="Calibri" w:eastAsia="Calibri" w:hAnsi="Calibri" w:cs="Calibri"/>
          <w:color w:val="202124"/>
          <w:sz w:val="24"/>
          <w:szCs w:val="24"/>
        </w:rPr>
      </w:pPr>
    </w:p>
    <w:p w:rsidR="006C1E78" w:rsidRDefault="006C1E78">
      <w:pPr>
        <w:spacing w:after="160" w:line="360" w:lineRule="auto"/>
        <w:jc w:val="both"/>
        <w:rPr>
          <w:rFonts w:ascii="Calibri" w:eastAsia="Calibri" w:hAnsi="Calibri" w:cs="Calibri"/>
          <w:color w:val="202124"/>
          <w:sz w:val="24"/>
          <w:szCs w:val="24"/>
        </w:rPr>
      </w:pPr>
    </w:p>
    <w:p w:rsidR="006C1E78" w:rsidRDefault="006C1E78">
      <w:pPr>
        <w:spacing w:after="160" w:line="360" w:lineRule="auto"/>
        <w:jc w:val="both"/>
        <w:rPr>
          <w:rFonts w:ascii="Calibri" w:eastAsia="Calibri" w:hAnsi="Calibri" w:cs="Calibri"/>
          <w:color w:val="202124"/>
          <w:sz w:val="24"/>
          <w:szCs w:val="24"/>
        </w:rPr>
      </w:pPr>
    </w:p>
    <w:p w:rsidR="006C1E78" w:rsidRDefault="006C1E78">
      <w:pPr>
        <w:spacing w:after="160" w:line="360" w:lineRule="auto"/>
        <w:jc w:val="both"/>
        <w:rPr>
          <w:color w:val="202124"/>
          <w:sz w:val="24"/>
          <w:szCs w:val="24"/>
        </w:rPr>
      </w:pPr>
    </w:p>
    <w:p w:rsidR="006C1E78" w:rsidRDefault="006C1E78">
      <w:pPr>
        <w:spacing w:after="160" w:line="360" w:lineRule="auto"/>
        <w:jc w:val="both"/>
        <w:rPr>
          <w:color w:val="202124"/>
          <w:sz w:val="24"/>
          <w:szCs w:val="24"/>
        </w:rPr>
      </w:pPr>
    </w:p>
    <w:p w:rsidR="006C1E78" w:rsidRDefault="006C1E78">
      <w:pPr>
        <w:spacing w:after="160" w:line="360" w:lineRule="auto"/>
        <w:jc w:val="both"/>
        <w:rPr>
          <w:color w:val="202124"/>
          <w:sz w:val="24"/>
          <w:szCs w:val="24"/>
        </w:rPr>
      </w:pPr>
    </w:p>
    <w:p w:rsidR="006C1E78" w:rsidRDefault="006C1E78">
      <w:pPr>
        <w:spacing w:after="160" w:line="360" w:lineRule="auto"/>
        <w:jc w:val="both"/>
        <w:rPr>
          <w:color w:val="202124"/>
          <w:sz w:val="24"/>
          <w:szCs w:val="24"/>
        </w:rPr>
      </w:pPr>
    </w:p>
    <w:p w:rsidR="006C1E78" w:rsidRDefault="00000000">
      <w:pPr>
        <w:spacing w:after="160"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Valeria Gómez Montaña</w:t>
      </w:r>
    </w:p>
    <w:p w:rsidR="006C1E78" w:rsidRDefault="00000000">
      <w:pPr>
        <w:spacing w:before="240" w:after="240"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Jefe de prensa</w:t>
      </w:r>
    </w:p>
    <w:p w:rsidR="006C1E78" w:rsidRDefault="00000000">
      <w:pPr>
        <w:spacing w:before="240" w:after="240"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Alcaldía Local de Usme                                                                            </w:t>
      </w:r>
      <w:r>
        <w:rPr>
          <w:b/>
          <w:noProof/>
          <w:sz w:val="20"/>
          <w:szCs w:val="20"/>
        </w:rPr>
        <w:drawing>
          <wp:inline distT="114300" distB="114300" distL="114300" distR="114300">
            <wp:extent cx="1981200" cy="1028700"/>
            <wp:effectExtent l="0" t="0" r="0" b="0"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C1E78" w:rsidRDefault="00000000">
      <w:r>
        <w:t xml:space="preserve"> </w:t>
      </w:r>
    </w:p>
    <w:p w:rsidR="006C1E78" w:rsidRDefault="006C1E78"/>
    <w:p w:rsidR="006C1E78" w:rsidRDefault="006C1E78"/>
    <w:p w:rsidR="006C1E78" w:rsidRDefault="006C1E78"/>
    <w:p w:rsidR="006C1E78" w:rsidRDefault="006C1E78">
      <w:pPr>
        <w:rPr>
          <w:color w:val="202124"/>
          <w:sz w:val="24"/>
          <w:szCs w:val="24"/>
          <w:highlight w:val="white"/>
        </w:rPr>
      </w:pPr>
    </w:p>
    <w:sectPr w:rsidR="006C1E7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E78"/>
    <w:rsid w:val="002D363A"/>
    <w:rsid w:val="006C1E78"/>
    <w:rsid w:val="00E475C9"/>
    <w:rsid w:val="00FE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860F24"/>
  <w15:docId w15:val="{19B8950D-D68E-B949-BA7C-D7D67E1CA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5aJI2oWbTETT+V6xPdIdUS9u+Hg==">AMUW2mVXmap5NtVDvZUYXk5HFqv0xSApWplhTxlkiBdKgfskXYLpxllqUQ7ngt0QBkYIPhC/uKN6wuJfQ5PGEH0Jtmuxj66edX4wjqeEF3Qg655lJpVqiCDkScDxRApZFc2vuveWS2Ln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395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dcterms:created xsi:type="dcterms:W3CDTF">2022-12-15T13:41:00Z</dcterms:created>
  <dcterms:modified xsi:type="dcterms:W3CDTF">2022-12-15T14:18:00Z</dcterms:modified>
</cp:coreProperties>
</file>